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06"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06" w:lineRule="auto"/>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ind w:left="1080" w:hanging="661"/>
        <w:spacing w:after="0"/>
        <w:tabs>
          <w:tab w:leader="none" w:pos="10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23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2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1080" w:hanging="661"/>
        <w:spacing w:after="0"/>
        <w:tabs>
          <w:tab w:leader="none" w:pos="10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14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001-37702</w:t>
      </w:r>
    </w:p>
    <w:p>
      <w:pPr>
        <w:spacing w:after="0" w:line="8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42"/>
          <w:szCs w:val="42"/>
          <w:b w:val="1"/>
          <w:bCs w:val="1"/>
          <w:color w:val="auto"/>
        </w:rPr>
        <w:t>Amgen Inc.</w:t>
      </w:r>
    </w:p>
    <w:p>
      <w:pPr>
        <w:spacing w:after="0" w:line="1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72" w:right="339" w:bottom="1440" w:gutter="0" w:footer="0" w:header="0"/>
        </w:sectPr>
      </w:pPr>
    </w:p>
    <w:p>
      <w:pPr>
        <w:spacing w:after="0" w:line="22"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95-3540776</w:t>
      </w:r>
    </w:p>
    <w:p>
      <w:pPr>
        <w:spacing w:after="0" w:line="38" w:lineRule="exact"/>
        <w:rPr>
          <w:sz w:val="24"/>
          <w:szCs w:val="24"/>
          <w:color w:val="auto"/>
        </w:rPr>
      </w:pPr>
    </w:p>
    <w:p>
      <w:pPr>
        <w:sectPr>
          <w:pgSz w:w="11900" w:h="16838" w:orient="portrait"/>
          <w:cols w:equalWidth="0" w:num="2">
            <w:col w:w="7800" w:space="720"/>
            <w:col w:w="2720"/>
          </w:cols>
          <w:pgMar w:left="320" w:top="1072" w:right="339" w:bottom="1440" w:gutter="0" w:footer="0" w:header="0"/>
          <w:type w:val="continuous"/>
        </w:sectPr>
      </w:pPr>
    </w:p>
    <w:p>
      <w:pPr>
        <w:ind w:left="236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23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211" w:lineRule="exact"/>
        <w:rPr>
          <w:sz w:val="24"/>
          <w:szCs w:val="24"/>
          <w:color w:val="auto"/>
        </w:rPr>
      </w:pPr>
    </w:p>
    <w:p>
      <w:pPr>
        <w:sectPr>
          <w:pgSz w:w="11900" w:h="16838" w:orient="portrait"/>
          <w:cols w:equalWidth="0" w:num="2">
            <w:col w:w="7700" w:space="720"/>
            <w:col w:w="2820"/>
          </w:cols>
          <w:pgMar w:left="320" w:top="1072" w:right="339" w:bottom="1440" w:gutter="0" w:footer="0" w:header="0"/>
          <w:type w:val="continuous"/>
        </w:sectPr>
      </w:pPr>
    </w:p>
    <w:p>
      <w:pPr>
        <w:spacing w:after="0" w:line="100" w:lineRule="exact"/>
        <w:rPr>
          <w:sz w:val="24"/>
          <w:szCs w:val="24"/>
          <w:color w:val="auto"/>
        </w:rPr>
      </w:pPr>
    </w:p>
    <w:p>
      <w:pPr>
        <w:jc w:val="center"/>
        <w:ind w:right="4880"/>
        <w:spacing w:after="0"/>
        <w:rPr>
          <w:sz w:val="20"/>
          <w:szCs w:val="20"/>
          <w:color w:val="auto"/>
        </w:rPr>
      </w:pPr>
      <w:r>
        <w:rPr>
          <w:rFonts w:ascii="Times New Roman" w:cs="Times New Roman" w:eastAsia="Times New Roman" w:hAnsi="Times New Roman"/>
          <w:sz w:val="16"/>
          <w:szCs w:val="16"/>
          <w:b w:val="1"/>
          <w:bCs w:val="1"/>
          <w:color w:val="auto"/>
        </w:rPr>
        <w:t>One Amgen Center Drive</w:t>
      </w:r>
    </w:p>
    <w:p>
      <w:pPr>
        <w:spacing w:after="0" w:line="67" w:lineRule="exact"/>
        <w:rPr>
          <w:sz w:val="24"/>
          <w:szCs w:val="24"/>
          <w:color w:val="auto"/>
        </w:rPr>
      </w:pPr>
    </w:p>
    <w:p>
      <w:pPr>
        <w:jc w:val="center"/>
        <w:ind w:right="4880"/>
        <w:spacing w:after="0"/>
        <w:rPr>
          <w:sz w:val="20"/>
          <w:szCs w:val="20"/>
          <w:color w:val="auto"/>
        </w:rPr>
      </w:pPr>
      <w:r>
        <w:rPr>
          <w:rFonts w:ascii="Times New Roman" w:cs="Times New Roman" w:eastAsia="Times New Roman" w:hAnsi="Times New Roman"/>
          <w:sz w:val="18"/>
          <w:szCs w:val="18"/>
          <w:b w:val="1"/>
          <w:bCs w:val="1"/>
          <w:color w:val="auto"/>
        </w:rPr>
        <w:t>Thousand Oaks</w:t>
      </w:r>
    </w:p>
    <w:p>
      <w:pPr>
        <w:sectPr>
          <w:pgSz w:w="11900" w:h="16838" w:orient="portrait"/>
          <w:cols w:equalWidth="0" w:num="1">
            <w:col w:w="11240"/>
          </w:cols>
          <w:pgMar w:left="320" w:top="1072" w:right="339" w:bottom="1440" w:gutter="0" w:footer="0" w:header="0"/>
          <w:type w:val="continuous"/>
        </w:sectPr>
      </w:pPr>
    </w:p>
    <w:p>
      <w:pPr>
        <w:spacing w:after="0" w:line="44"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91320-1799</w:t>
      </w:r>
    </w:p>
    <w:p>
      <w:pPr>
        <w:spacing w:after="0" w:line="47" w:lineRule="exact"/>
        <w:rPr>
          <w:sz w:val="24"/>
          <w:szCs w:val="24"/>
          <w:color w:val="auto"/>
        </w:rPr>
      </w:pPr>
    </w:p>
    <w:p>
      <w:pPr>
        <w:sectPr>
          <w:pgSz w:w="11900" w:h="16838" w:orient="portrait"/>
          <w:cols w:equalWidth="0" w:num="2">
            <w:col w:w="7800" w:space="720"/>
            <w:col w:w="2720"/>
          </w:cols>
          <w:pgMar w:left="320" w:top="1072"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49" w:lineRule="exact"/>
        <w:rPr>
          <w:sz w:val="24"/>
          <w:szCs w:val="24"/>
          <w:color w:val="auto"/>
        </w:rPr>
      </w:pPr>
    </w:p>
    <w:p>
      <w:pPr>
        <w:sectPr>
          <w:pgSz w:w="11900" w:h="16838" w:orient="portrait"/>
          <w:cols w:equalWidth="0" w:num="2">
            <w:col w:w="7920" w:space="720"/>
            <w:col w:w="2600"/>
          </w:cols>
          <w:pgMar w:left="320" w:top="1072" w:right="339" w:bottom="1440" w:gutter="0" w:footer="0" w:header="0"/>
          <w:type w:val="continuous"/>
        </w:sect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(805) 447-1000</w:t>
      </w:r>
    </w:p>
    <w:p>
      <w:pPr>
        <w:jc w:val="center"/>
        <w:ind w:left="3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072" w:right="339" w:bottom="1440" w:gutter="0" w:footer="0" w:header="0"/>
          <w:type w:val="continuous"/>
        </w:sectPr>
      </w:pPr>
    </w:p>
    <w:p>
      <w:pPr>
        <w:spacing w:after="0" w:line="2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30" w:lineRule="exact"/>
        <w:rPr>
          <w:sz w:val="24"/>
          <w:szCs w:val="24"/>
          <w:color w:val="auto"/>
        </w:rPr>
      </w:pPr>
    </w:p>
    <w:p>
      <w:pPr>
        <w:sectPr>
          <w:pgSz w:w="11900" w:h="16838" w:orient="portrait"/>
          <w:cols w:equalWidth="0" w:num="3">
            <w:col w:w="4720" w:space="720"/>
            <w:col w:w="1380" w:space="720"/>
            <w:col w:w="3700"/>
          </w:cols>
          <w:pgMar w:left="320" w:top="1072" w:right="339" w:bottom="1440" w:gutter="0" w:footer="0" w:header="0"/>
          <w:type w:val="continuous"/>
        </w:sectPr>
      </w:pPr>
    </w:p>
    <w:p>
      <w:pPr>
        <w:jc w:val="center"/>
        <w:ind w:left="1120"/>
        <w:spacing w:after="0"/>
        <w:rPr>
          <w:sz w:val="20"/>
          <w:szCs w:val="20"/>
          <w:color w:val="auto"/>
        </w:rPr>
      </w:pPr>
      <w:r>
        <w:rPr>
          <w:rFonts w:ascii="Times New Roman" w:cs="Times New Roman" w:eastAsia="Times New Roman" w:hAnsi="Times New Roman"/>
          <w:sz w:val="16"/>
          <w:szCs w:val="16"/>
          <w:b w:val="1"/>
          <w:bCs w:val="1"/>
          <w:color w:val="auto"/>
        </w:rPr>
        <w:t>Common stock, $0.0001 par value</w:t>
      </w:r>
    </w:p>
    <w:p>
      <w:pPr>
        <w:spacing w:after="0" w:line="47" w:lineRule="exact"/>
        <w:rPr>
          <w:sz w:val="24"/>
          <w:szCs w:val="24"/>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2.00% Senior Notes due 2026</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AMGN</w:t>
      </w:r>
    </w:p>
    <w:p>
      <w:pPr>
        <w:spacing w:after="0" w:line="2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AMGN26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114" w:lineRule="exact"/>
        <w:rPr>
          <w:sz w:val="24"/>
          <w:szCs w:val="24"/>
          <w:color w:val="auto"/>
        </w:rPr>
      </w:pPr>
    </w:p>
    <w:p>
      <w:pPr>
        <w:sectPr>
          <w:pgSz w:w="11900" w:h="16838" w:orient="portrait"/>
          <w:cols w:equalWidth="0" w:num="3">
            <w:col w:w="4900" w:space="720"/>
            <w:col w:w="1260" w:space="720"/>
            <w:col w:w="3640"/>
          </w:cols>
          <w:pgMar w:left="320" w:top="1072" w:right="339" w:bottom="1440" w:gutter="0" w:footer="0" w:header="0"/>
          <w:type w:val="continuous"/>
        </w:sectPr>
      </w:pPr>
    </w:p>
    <w:p>
      <w:pPr>
        <w:jc w:val="both"/>
        <w:ind w:firstLine="396"/>
        <w:spacing w:after="0" w:line="21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w:t>
      </w:r>
    </w:p>
    <w:p>
      <w:pPr>
        <w:spacing w:after="0" w:line="1" w:lineRule="exact"/>
        <w:rPr>
          <w:sz w:val="24"/>
          <w:szCs w:val="24"/>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 xml:space="preserve">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396"/>
        <w:spacing w:after="0" w:line="21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72" w:right="339" w:bottom="1440" w:gutter="0" w:footer="0" w:header="0"/>
          <w:type w:val="continuous"/>
        </w:sectPr>
      </w:pPr>
    </w:p>
    <w:p>
      <w:pPr>
        <w:spacing w:after="0" w:line="38" w:lineRule="exact"/>
        <w:rPr>
          <w:sz w:val="24"/>
          <w:szCs w:val="24"/>
          <w:color w:val="auto"/>
        </w:rPr>
      </w:pPr>
    </w:p>
    <w:p>
      <w:pPr>
        <w:ind w:left="180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99" w:lineRule="exact"/>
        <w:rPr>
          <w:sz w:val="24"/>
          <w:szCs w:val="24"/>
          <w:color w:val="auto"/>
        </w:r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ind w:left="74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381" w:lineRule="exact"/>
        <w:rPr>
          <w:sz w:val="24"/>
          <w:szCs w:val="24"/>
          <w:color w:val="auto"/>
        </w:rPr>
      </w:pPr>
    </w:p>
    <w:p>
      <w:pPr>
        <w:sectPr>
          <w:pgSz w:w="11900" w:h="16838" w:orient="portrait"/>
          <w:cols w:equalWidth="0" w:num="3">
            <w:col w:w="4480" w:space="720"/>
            <w:col w:w="3440" w:space="720"/>
            <w:col w:w="1880"/>
          </w:cols>
          <w:pgMar w:left="320" w:top="1072" w:right="339" w:bottom="1440" w:gutter="0" w:footer="0" w:header="0"/>
          <w:type w:val="continuous"/>
        </w:sectPr>
      </w:pPr>
    </w:p>
    <w:p>
      <w:pPr>
        <w:ind w:firstLine="396"/>
        <w:spacing w:after="0" w:line="21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0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6"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October 25, 2024, the registrant had 537,532,723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528955</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848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DEFINED TERMS AND PRODUCTS</w:t>
            </w: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8480" w:type="dxa"/>
            <w:vAlign w:val="bottom"/>
            <w:gridSpan w:val="19"/>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8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PART I—FINANCIAL INFORMATION</w:t>
            </w:r>
          </w:p>
        </w:tc>
        <w:tc>
          <w:tcPr>
            <w:tcW w:w="6400" w:type="dxa"/>
            <w:vAlign w:val="bottom"/>
            <w:gridSpan w:val="12"/>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208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3"/>
              </w:rPr>
              <w:t>FINANCIAL STATEMENTS</w:t>
            </w:r>
          </w:p>
        </w:tc>
        <w:tc>
          <w:tcPr>
            <w:tcW w:w="6400" w:type="dxa"/>
            <w:vAlign w:val="bottom"/>
            <w:gridSpan w:val="12"/>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rPr>
                <w:sz w:val="17"/>
                <w:szCs w:val="17"/>
                <w:color w:val="auto"/>
              </w:rPr>
            </w:pPr>
          </w:p>
        </w:tc>
        <w:tc>
          <w:tcPr>
            <w:tcW w:w="458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0000FF"/>
                <w:w w:val="95"/>
              </w:rPr>
              <w:t>CONDENSED CONSOLIDATED STATEMENTS OF INCOME</w:t>
            </w:r>
          </w:p>
        </w:tc>
        <w:tc>
          <w:tcPr>
            <w:tcW w:w="3900" w:type="dxa"/>
            <w:vAlign w:val="bottom"/>
            <w:gridSpan w:val="8"/>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rPr>
                <w:sz w:val="17"/>
                <w:szCs w:val="17"/>
                <w:color w:val="auto"/>
              </w:rPr>
            </w:pPr>
          </w:p>
        </w:tc>
        <w:tc>
          <w:tcPr>
            <w:tcW w:w="610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w w:val="96"/>
              </w:rPr>
              <w:t>CONDENSED CONSOLIDATED STATEMENTS OF COMPREHENSIVE INCOME</w:t>
            </w:r>
          </w:p>
        </w:tc>
        <w:tc>
          <w:tcPr>
            <w:tcW w:w="2380" w:type="dxa"/>
            <w:vAlign w:val="bottom"/>
            <w:gridSpan w:val="2"/>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rPr>
                <w:sz w:val="17"/>
                <w:szCs w:val="17"/>
                <w:color w:val="auto"/>
              </w:rPr>
            </w:pPr>
          </w:p>
        </w:tc>
        <w:tc>
          <w:tcPr>
            <w:tcW w:w="610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2380" w:type="dxa"/>
            <w:vAlign w:val="bottom"/>
            <w:gridSpan w:val="2"/>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rPr>
                <w:sz w:val="17"/>
                <w:szCs w:val="17"/>
                <w:color w:val="auto"/>
              </w:rPr>
            </w:pPr>
          </w:p>
        </w:tc>
        <w:tc>
          <w:tcPr>
            <w:tcW w:w="7560" w:type="dxa"/>
            <w:vAlign w:val="bottom"/>
            <w:gridSpan w:val="18"/>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920" w:type="dxa"/>
            <w:vAlign w:val="bottom"/>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rPr>
                <w:sz w:val="17"/>
                <w:szCs w:val="17"/>
                <w:color w:val="auto"/>
              </w:rPr>
            </w:pPr>
          </w:p>
        </w:tc>
        <w:tc>
          <w:tcPr>
            <w:tcW w:w="500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5"/>
              </w:rPr>
              <w:t>CONDENSED CONSOLIDATED STATEMENTS OF CASH FLOWS</w:t>
            </w:r>
          </w:p>
        </w:tc>
        <w:tc>
          <w:tcPr>
            <w:tcW w:w="256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rPr>
                <w:sz w:val="17"/>
                <w:szCs w:val="17"/>
                <w:color w:val="auto"/>
              </w:rPr>
            </w:pPr>
          </w:p>
        </w:tc>
        <w:tc>
          <w:tcPr>
            <w:tcW w:w="546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6"/>
              </w:rPr>
              <w:t>NOTES TO CONDENSED CONSOLIDATED FINANCIAL STATEMENTS</w:t>
            </w:r>
          </w:p>
        </w:tc>
        <w:tc>
          <w:tcPr>
            <w:tcW w:w="3020" w:type="dxa"/>
            <w:vAlign w:val="bottom"/>
            <w:gridSpan w:val="6"/>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848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1200" w:type="dxa"/>
            <w:vAlign w:val="bottom"/>
            <w:tcBorders>
              <w:top w:val="single" w:sz="8" w:color="0000FF"/>
            </w:tcBorders>
            <w:gridSpan w:val="3"/>
          </w:tcPr>
          <w:p>
            <w:pPr>
              <w:spacing w:after="0" w:line="138" w:lineRule="exact"/>
              <w:rPr>
                <w:sz w:val="20"/>
                <w:szCs w:val="20"/>
                <w:color w:val="auto"/>
              </w:rPr>
            </w:pPr>
            <w:r>
              <w:rPr>
                <w:rFonts w:ascii="Times New Roman" w:cs="Times New Roman" w:eastAsia="Times New Roman" w:hAnsi="Times New Roman"/>
                <w:sz w:val="16"/>
                <w:szCs w:val="16"/>
                <w:color w:val="0000FF"/>
              </w:rPr>
              <w:t>OPERATIONS</w:t>
            </w:r>
          </w:p>
        </w:tc>
        <w:tc>
          <w:tcPr>
            <w:tcW w:w="6360" w:type="dxa"/>
            <w:vAlign w:val="bottom"/>
            <w:tcBorders>
              <w:top w:val="single" w:sz="8" w:color="0000FF"/>
            </w:tcBorders>
            <w:gridSpan w:val="15"/>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00" w:type="dxa"/>
            <w:vAlign w:val="bottom"/>
            <w:tcBorders>
              <w:right w:val="single" w:sz="8" w:color="0000FF"/>
            </w:tcBorders>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380" w:type="dxa"/>
            <w:vAlign w:val="bottom"/>
            <w:gridSpan w:val="6"/>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gridSpan w:val="4"/>
          </w:tcPr>
          <w:p>
            <w:pPr>
              <w:spacing w:after="0"/>
              <w:rPr>
                <w:sz w:val="2"/>
                <w:szCs w:val="2"/>
                <w:color w:val="auto"/>
              </w:rPr>
            </w:pPr>
          </w:p>
        </w:tc>
        <w:tc>
          <w:tcPr>
            <w:tcW w:w="10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5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5"/>
              </w:rPr>
              <w:t>QUANTITATIVE AND QUALITATIVE DISCLOSURES ABOUT MARKET RISK</w:t>
            </w:r>
          </w:p>
        </w:tc>
        <w:tc>
          <w:tcPr>
            <w:tcW w:w="2500" w:type="dxa"/>
            <w:vAlign w:val="bottom"/>
            <w:gridSpan w:val="4"/>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3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252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3460" w:type="dxa"/>
            <w:vAlign w:val="bottom"/>
            <w:gridSpan w:val="7"/>
          </w:tcPr>
          <w:p>
            <w:pPr>
              <w:spacing w:after="0"/>
              <w:rPr>
                <w:sz w:val="17"/>
                <w:szCs w:val="17"/>
                <w:color w:val="auto"/>
              </w:rPr>
            </w:pPr>
          </w:p>
        </w:tc>
        <w:tc>
          <w:tcPr>
            <w:tcW w:w="2500" w:type="dxa"/>
            <w:vAlign w:val="bottom"/>
            <w:gridSpan w:val="4"/>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gridSpan w:val="20"/>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46</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848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46</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12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3"/>
              </w:rPr>
              <w:t>RISK FACTORS</w:t>
            </w:r>
          </w:p>
        </w:tc>
        <w:tc>
          <w:tcPr>
            <w:tcW w:w="600" w:type="dxa"/>
            <w:vAlign w:val="bottom"/>
            <w:gridSpan w:val="2"/>
          </w:tcPr>
          <w:p>
            <w:pPr>
              <w:spacing w:after="0"/>
              <w:rPr>
                <w:sz w:val="17"/>
                <w:szCs w:val="17"/>
                <w:color w:val="auto"/>
              </w:rPr>
            </w:pPr>
          </w:p>
        </w:tc>
        <w:tc>
          <w:tcPr>
            <w:tcW w:w="6680" w:type="dxa"/>
            <w:vAlign w:val="bottom"/>
            <w:gridSpan w:val="14"/>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46</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848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080" w:type="dxa"/>
            <w:vAlign w:val="bottom"/>
            <w:gridSpan w:val="8"/>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182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4"/>
              </w:rPr>
              <w:t>OTHER INFORMATION</w:t>
            </w:r>
          </w:p>
        </w:tc>
        <w:tc>
          <w:tcPr>
            <w:tcW w:w="4080" w:type="dxa"/>
            <w:vAlign w:val="bottom"/>
            <w:gridSpan w:val="8"/>
          </w:tcPr>
          <w:p>
            <w:pPr>
              <w:spacing w:after="0"/>
              <w:rPr>
                <w:sz w:val="17"/>
                <w:szCs w:val="17"/>
                <w:color w:val="auto"/>
              </w:rPr>
            </w:pPr>
          </w:p>
        </w:tc>
        <w:tc>
          <w:tcPr>
            <w:tcW w:w="2580" w:type="dxa"/>
            <w:vAlign w:val="bottom"/>
            <w:gridSpan w:val="5"/>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6660" w:type="dxa"/>
            <w:vAlign w:val="bottom"/>
            <w:gridSpan w:val="13"/>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2"/>
              </w:rPr>
              <w:t>EXHIBITS</w:t>
            </w:r>
          </w:p>
        </w:tc>
        <w:tc>
          <w:tcPr>
            <w:tcW w:w="1040" w:type="dxa"/>
            <w:vAlign w:val="bottom"/>
            <w:gridSpan w:val="5"/>
          </w:tcPr>
          <w:p>
            <w:pPr>
              <w:spacing w:after="0"/>
              <w:rPr>
                <w:sz w:val="17"/>
                <w:szCs w:val="17"/>
                <w:color w:val="auto"/>
              </w:rPr>
            </w:pPr>
          </w:p>
        </w:tc>
        <w:tc>
          <w:tcPr>
            <w:tcW w:w="6660" w:type="dxa"/>
            <w:vAlign w:val="bottom"/>
            <w:gridSpan w:val="13"/>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6"/>
              </w:rPr>
              <w:t>INDEX TO EXHIBITS</w:t>
            </w:r>
          </w:p>
        </w:tc>
        <w:tc>
          <w:tcPr>
            <w:tcW w:w="8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0"/>
        </w:trPr>
        <w:tc>
          <w:tcPr>
            <w:tcW w:w="1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4"/>
        </w:trPr>
        <w:tc>
          <w:tcPr>
            <w:tcW w:w="17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8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60</w:t>
            </w:r>
          </w:p>
        </w:tc>
      </w:tr>
      <w:tr>
        <w:trPr>
          <w:trHeight w:val="20"/>
        </w:trPr>
        <w:tc>
          <w:tcPr>
            <w:tcW w:w="1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160655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60"/>
          </w:cols>
          <w:pgMar w:left="740" w:top="101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Defined Terms and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terms</w:t>
      </w:r>
    </w:p>
    <w:p>
      <w:pPr>
        <w:spacing w:after="0" w:line="151"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We use several terms in this Form 10-Q, including but not limited to those that are finance, regulation and disease-state related as well as names of other companies, which are given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90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216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AstraZeneca plc</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BeiGene</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BeiGene, Ltd.</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Centers for Medicare &amp; Medicaid Services</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European Medicines Agency</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earnings per share</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European Union</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U.S. Food and Drug Administration</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Fitch</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Fitch Ratings, Inc.</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FTC</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Federal Trade Commission</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HHS</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Horizon Therapeutics plc</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in-process research and development</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Inflation Reduction Act of 2022</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management’s discussion and analysis</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Moody’s Investors Service, Inc.</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Neumora</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Neumora Therapeutics, Inc.</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OECD</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PBM</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pharmacy benefit manager</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PDAB</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Prescription Drug Affordability Board</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RANKL</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receptor activator of nuclear factor kappa-B ligand</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RAR</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Revenue Agent Report</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ROW</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rest of world</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Standard &amp; Poor’s Financial Services LLC</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0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90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U.S. Department of Treasury</w:t>
            </w:r>
          </w:p>
        </w:tc>
      </w:tr>
      <w:tr>
        <w:trPr>
          <w:trHeight w:val="224"/>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UTB</w:t>
            </w:r>
          </w:p>
        </w:tc>
        <w:tc>
          <w:tcPr>
            <w:tcW w:w="90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unrecognized tax benefit</w:t>
            </w:r>
          </w:p>
        </w:tc>
      </w:tr>
      <w:tr>
        <w:trPr>
          <w:trHeight w:val="810"/>
        </w:trPr>
        <w:tc>
          <w:tcPr>
            <w:tcW w:w="2160" w:type="dxa"/>
            <w:vAlign w:val="bottom"/>
          </w:tcPr>
          <w:p>
            <w:pPr>
              <w:spacing w:after="0"/>
              <w:rPr>
                <w:sz w:val="24"/>
                <w:szCs w:val="24"/>
                <w:color w:val="auto"/>
              </w:rPr>
            </w:pPr>
          </w:p>
        </w:tc>
        <w:tc>
          <w:tcPr>
            <w:tcW w:w="908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ii</w:t>
            </w:r>
          </w:p>
        </w:tc>
      </w:tr>
      <w:tr>
        <w:trPr>
          <w:trHeight w:val="258"/>
        </w:trPr>
        <w:tc>
          <w:tcPr>
            <w:tcW w:w="2160" w:type="dxa"/>
            <w:vAlign w:val="bottom"/>
            <w:tcBorders>
              <w:bottom w:val="single" w:sz="8" w:color="9A9A9A"/>
            </w:tcBorders>
          </w:tcPr>
          <w:p>
            <w:pPr>
              <w:spacing w:after="0"/>
              <w:rPr>
                <w:sz w:val="22"/>
                <w:szCs w:val="22"/>
                <w:color w:val="auto"/>
              </w:rPr>
            </w:pPr>
          </w:p>
        </w:tc>
        <w:tc>
          <w:tcPr>
            <w:tcW w:w="90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brand names of our products, our delivery devices and certain of our product candidates and their associated generic names are given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5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268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r>
        <w:trPr>
          <w:trHeight w:val="21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ACTIMMUNE</w:t>
            </w:r>
          </w:p>
        </w:tc>
        <w:tc>
          <w:tcPr>
            <w:tcW w:w="8560" w:type="dxa"/>
            <w:vAlign w:val="bottom"/>
            <w:shd w:val="clear" w:color="auto" w:fill="CCEEFF"/>
          </w:tcPr>
          <w:p>
            <w:pPr>
              <w:ind w:left="620"/>
              <w:spacing w:after="0" w:line="218" w:lineRule="exact"/>
              <w:rPr>
                <w:sz w:val="20"/>
                <w:szCs w:val="20"/>
                <w:color w:val="auto"/>
              </w:rPr>
            </w:pPr>
            <w:r>
              <w:rPr>
                <w:rFonts w:ascii="Times New Roman" w:cs="Times New Roman" w:eastAsia="Times New Roman" w:hAnsi="Times New Roman"/>
                <w:sz w:val="18"/>
                <w:szCs w:val="18"/>
                <w:color w:val="auto"/>
              </w:rPr>
              <w:t>ACTIMMUNE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(interferon gamma-1b)</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Aimovig</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Aimovig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(erenumab-aooe)</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AMJEVITA/AMGEVITA</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AMJEVITA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(adalimumab-atto)/AMGEVITA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(adalimumab)</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Aranesp</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(darbepoetin alfa)</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AVSOLA</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AVSOLA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(infliximab-axxq)</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BEKEMV</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BEKEMV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(eculizumab)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BLINCYTO</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BLINCYTO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(blinatumomab)</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BUPHENYL</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BUPHENYL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(sodium phenylbutyrate)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Corlanor</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Corlanor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(ivabradine)</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DUEXIS</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DUEXIS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(ibuprofen and famotidine)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ENBREL</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Enbrel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(etanercept)</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EPOGEN</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(epoetin alfa)</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EVENITY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(romosozumab-aqqg)</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IMDELLTRA</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IMDELLTRA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(tarlatamab-dlle)</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IMLYGIC</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IMLYGIC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(talimogene laherparepvec)</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KANJINTI</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KANJINTI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(trastuzumab-anns)</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KRYSTEXXA</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KRYSTEXXA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(pegloticase)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KYPROLIS</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(carfilzomib)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LUMAKRAS/LUMYKRAS</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LUMAKRAS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/LUMYKRAS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(sotorasib)</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MVASI</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MVASI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(bevacizumab-awwb)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Neulasta</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(pegfilgrastim)</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NEUPOGEN</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(filgrastim)</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Nplate</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(romiplostim)</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Otezla</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Otezla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(apremilast)</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Parsabiv</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Parsabiv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(etelcalcetide)</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PENNSAID</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PENNSAID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(diclofenac sodium topical solution) 2%</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PROCYSBI</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PROCYSBI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(cysteamine bitartrate)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Prolia</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(denosumab)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QUINSAIR</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QUINSAIR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(levofloxacin)</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RAVICTI</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RAVICTI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(glycerol phenylbutyrate)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RAYOS</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RAYOS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(prednisone)</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Repatha</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Repatha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(evolocumab)</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RIABNI</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RIABNI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(rituximab-arrx)</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Sensipar/Mimpara</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(cinacalcet)</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TAVNEOS</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TAVNEOS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(avacopan)</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TEPEZZA</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TEPEZZA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(teprotumumab-trbw)</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TEZSPIRE</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TEZSPIRE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(tezepelumab-ekko)</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UPLIZNA</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UPLIZNA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(inebilizumab-cdon)</w:t>
            </w:r>
            <w:r>
              <w:rPr>
                <w:rFonts w:ascii="Times New Roman" w:cs="Times New Roman" w:eastAsia="Times New Roman" w:hAnsi="Times New Roman"/>
                <w:sz w:val="22"/>
                <w:szCs w:val="22"/>
                <w:color w:val="auto"/>
                <w:vertAlign w:val="superscript"/>
              </w:rPr>
              <w:t>(1)</w:t>
            </w:r>
          </w:p>
        </w:tc>
      </w:tr>
      <w:tr>
        <w:trPr>
          <w:trHeight w:val="22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Vectibix</w:t>
            </w:r>
          </w:p>
        </w:tc>
        <w:tc>
          <w:tcPr>
            <w:tcW w:w="8560" w:type="dxa"/>
            <w:vAlign w:val="bottom"/>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(panitumumab)</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WEZLANA/WEZENLA</w:t>
            </w:r>
          </w:p>
        </w:tc>
        <w:tc>
          <w:tcPr>
            <w:tcW w:w="8560" w:type="dxa"/>
            <w:vAlign w:val="bottom"/>
          </w:tcPr>
          <w:p>
            <w:pPr>
              <w:ind w:left="620"/>
              <w:spacing w:after="0" w:line="224" w:lineRule="exact"/>
              <w:rPr>
                <w:sz w:val="20"/>
                <w:szCs w:val="20"/>
                <w:color w:val="auto"/>
              </w:rPr>
            </w:pPr>
            <w:r>
              <w:rPr>
                <w:rFonts w:ascii="Times New Roman" w:cs="Times New Roman" w:eastAsia="Times New Roman" w:hAnsi="Times New Roman"/>
                <w:sz w:val="18"/>
                <w:szCs w:val="18"/>
                <w:color w:val="auto"/>
              </w:rPr>
              <w:t>WEZLANA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(ustekinumab-auub)/WEZENLA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(ustekinumab)</w:t>
            </w:r>
          </w:p>
        </w:tc>
      </w:tr>
      <w:tr>
        <w:trPr>
          <w:trHeight w:val="224"/>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XGEVA</w:t>
            </w:r>
          </w:p>
        </w:tc>
        <w:tc>
          <w:tcPr>
            <w:tcW w:w="8560" w:type="dxa"/>
            <w:vAlign w:val="bottom"/>
            <w:tcBorders>
              <w:bottom w:val="single" w:sz="8" w:color="auto"/>
            </w:tcBorders>
            <w:shd w:val="clear" w:color="auto" w:fill="CCEEFF"/>
          </w:tcPr>
          <w:p>
            <w:pPr>
              <w:ind w:left="620"/>
              <w:spacing w:after="0" w:line="224"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(denosumab)</w:t>
            </w:r>
          </w:p>
        </w:tc>
      </w:tr>
      <w:tr>
        <w:trPr>
          <w:trHeight w:val="304"/>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w:t>
            </w:r>
          </w:p>
        </w:tc>
        <w:tc>
          <w:tcPr>
            <w:tcW w:w="8560" w:type="dxa"/>
            <w:vAlign w:val="bottom"/>
          </w:tcPr>
          <w:p>
            <w:pPr>
              <w:spacing w:after="0"/>
              <w:rPr>
                <w:sz w:val="24"/>
                <w:szCs w:val="24"/>
                <w:color w:val="auto"/>
              </w:rPr>
            </w:pPr>
          </w:p>
        </w:tc>
      </w:tr>
    </w:tbl>
    <w:p>
      <w:pPr>
        <w:spacing w:after="0" w:line="65" w:lineRule="exact"/>
        <w:rPr>
          <w:sz w:val="20"/>
          <w:szCs w:val="20"/>
          <w:color w:val="auto"/>
        </w:rPr>
      </w:pPr>
    </w:p>
    <w:p>
      <w:pPr>
        <w:ind w:left="200" w:hanging="194"/>
        <w:spacing w:after="0"/>
        <w:tabs>
          <w:tab w:leader="none" w:pos="20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Products were acquired from our Horizon acquisition on October 6, 2023.</w:t>
      </w:r>
    </w:p>
    <w:p>
      <w:pPr>
        <w:spacing w:after="0" w:line="200" w:lineRule="exact"/>
        <w:rPr>
          <w:sz w:val="20"/>
          <w:szCs w:val="20"/>
          <w:color w:val="auto"/>
        </w:rPr>
      </w:pPr>
    </w:p>
    <w:p>
      <w:pPr>
        <w:spacing w:after="0" w:line="3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6" w:lineRule="exact"/>
        <w:rPr>
          <w:sz w:val="20"/>
          <w:szCs w:val="20"/>
          <w:color w:val="auto"/>
        </w:rPr>
      </w:pPr>
    </w:p>
    <w:p>
      <w:pPr>
        <w:ind w:left="4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00" w:lineRule="exact"/>
        <w:rPr>
          <w:sz w:val="20"/>
          <w:szCs w:val="20"/>
          <w:color w:val="auto"/>
        </w:rPr>
      </w:pPr>
    </w:p>
    <w:p>
      <w:pPr>
        <w:spacing w:after="0" w:line="21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(In millions, except per-share data)</w:t>
      </w:r>
    </w:p>
    <w:p>
      <w:pPr>
        <w:spacing w:after="0" w:line="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1"/>
        </w:trPr>
        <w:tc>
          <w:tcPr>
            <w:tcW w:w="5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19,077</w:t>
            </w: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17"/>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19,994</w:t>
            </w:r>
          </w:p>
        </w:tc>
      </w:tr>
      <w:tr>
        <w:trPr>
          <w:trHeight w:val="244"/>
        </w:trPr>
        <w:tc>
          <w:tcPr>
            <w:tcW w:w="5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r>
      <w:tr>
        <w:trPr>
          <w:trHeight w:val="224"/>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17"/>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r>
      <w:tr>
        <w:trPr>
          <w:trHeight w:val="244"/>
        </w:trPr>
        <w:tc>
          <w:tcPr>
            <w:tcW w:w="5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64"/>
        </w:trPr>
        <w:tc>
          <w:tcPr>
            <w:tcW w:w="5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44"/>
        </w:trPr>
        <w:tc>
          <w:tcPr>
            <w:tcW w:w="5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r>
      <w:tr>
        <w:trPr>
          <w:trHeight w:val="264"/>
        </w:trPr>
        <w:tc>
          <w:tcPr>
            <w:tcW w:w="5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44"/>
        </w:trPr>
        <w:tc>
          <w:tcPr>
            <w:tcW w:w="5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64"/>
        </w:trPr>
        <w:tc>
          <w:tcPr>
            <w:tcW w:w="5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calculation of earnings per share: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bl>
    <w:p>
      <w:pPr>
        <w:spacing w:after="0" w:line="200" w:lineRule="exact"/>
        <w:rPr>
          <w:sz w:val="20"/>
          <w:szCs w:val="20"/>
          <w:color w:val="auto"/>
        </w:rPr>
      </w:pPr>
    </w:p>
    <w:p>
      <w:pPr>
        <w:spacing w:after="0" w:line="3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2"/>
        </w:trPr>
        <w:tc>
          <w:tcPr>
            <w:tcW w:w="5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171"/>
        </w:trPr>
        <w:tc>
          <w:tcPr>
            <w:tcW w:w="5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Other comprehensive (loss) income, net of reclassification adjustments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taxes: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51"/>
        </w:trPr>
        <w:tc>
          <w:tcPr>
            <w:tcW w:w="5220" w:type="dxa"/>
            <w:vAlign w:val="bottom"/>
          </w:tcPr>
          <w:p>
            <w:pPr>
              <w:ind w:left="340"/>
              <w:spacing w:after="0" w:line="152" w:lineRule="exact"/>
              <w:rPr>
                <w:sz w:val="20"/>
                <w:szCs w:val="20"/>
                <w:color w:val="auto"/>
              </w:rPr>
            </w:pPr>
            <w:r>
              <w:rPr>
                <w:rFonts w:ascii="Times New Roman" w:cs="Times New Roman" w:eastAsia="Times New Roman" w:hAnsi="Times New Roman"/>
                <w:sz w:val="16"/>
                <w:szCs w:val="16"/>
                <w:color w:val="auto"/>
              </w:rPr>
              <w:t>Other comprehensive (loss) income, net of reclassification</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7"/>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adjustments and taxes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5"/>
        </w:trPr>
        <w:tc>
          <w:tcPr>
            <w:tcW w:w="7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7,268</w:t>
            </w: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24"/>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17"/>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30,332</w:t>
            </w:r>
          </w:p>
        </w:tc>
      </w:tr>
      <w:tr>
        <w:trPr>
          <w:trHeight w:val="264"/>
        </w:trPr>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32,641</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r>
      <w:tr>
        <w:trPr>
          <w:trHeight w:val="22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w:t>
            </w:r>
          </w:p>
        </w:tc>
      </w:tr>
      <w:tr>
        <w:trPr>
          <w:trHeight w:val="24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17"/>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18,392</w:t>
            </w:r>
          </w:p>
        </w:tc>
      </w:tr>
      <w:tr>
        <w:trPr>
          <w:trHeight w:val="264"/>
        </w:trPr>
        <w:tc>
          <w:tcPr>
            <w:tcW w:w="7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64"/>
        </w:trPr>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 (see Note 13)</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64"/>
        </w:trPr>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71"/>
        </w:trPr>
        <w:tc>
          <w:tcPr>
            <w:tcW w:w="784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w w:val="99"/>
              </w:rPr>
              <w:t>Common stock and additional paid-in capital; $0.0001 par value; 2,750.0 shares authorized; outstanding—</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7"/>
        </w:trPr>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537.5 shares in 2024 and 535.4 shares in 2023</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33,070</w:t>
            </w: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r>
      <w:tr>
        <w:trPr>
          <w:trHeight w:val="224"/>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7"/>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97,154</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per-share data)</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13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36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declared on common stock ($2.25 per share)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equity award</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programs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equity award</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programs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declared on common stock ($2.25 per share)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171"/>
        </w:trPr>
        <w:tc>
          <w:tcPr>
            <w:tcW w:w="45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equity award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programs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1"/>
        </w:trPr>
        <w:tc>
          <w:tcPr>
            <w:tcW w:w="45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160655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016" w:right="3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per-share data)</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13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36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declared on common stock ($2.13 per share)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equity award</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programs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equity award</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programs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declared on common stock ($2.13 per share)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171"/>
        </w:trPr>
        <w:tc>
          <w:tcPr>
            <w:tcW w:w="45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Issuance of common stock in connection with equity award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programs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71"/>
        </w:trPr>
        <w:tc>
          <w:tcPr>
            <w:tcW w:w="45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Tax impact related to employee stock-based compensation</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160655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016" w:right="359" w:bottom="1440" w:gutter="0" w:footer="0" w:header="0"/>
        </w:sectPr>
      </w:pPr>
    </w:p>
    <w:bookmarkStart w:id="9" w:name="page10"/>
    <w:bookmarkEnd w:id="9"/>
    <w:p>
      <w:pPr>
        <w:ind w:left="5400"/>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6"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adjustments to reconcile net income to net cash provided by operating activities: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other</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24"/>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4"/>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4"/>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equity method investments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Gains on equity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24"/>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items,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receivables,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4"/>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4"/>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income taxes,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4"/>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tax liabilities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4"/>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sales incentives and allowance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7"/>
        </w:trPr>
        <w:tc>
          <w:tcPr>
            <w:tcW w:w="7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7,933</w:t>
            </w:r>
          </w:p>
        </w:tc>
      </w:tr>
      <w:tr>
        <w:trPr>
          <w:trHeight w:val="204"/>
        </w:trPr>
        <w:tc>
          <w:tcPr>
            <w:tcW w:w="78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0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7"/>
        </w:trPr>
        <w:tc>
          <w:tcPr>
            <w:tcW w:w="7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04"/>
        </w:trPr>
        <w:tc>
          <w:tcPr>
            <w:tcW w:w="78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debt</w:t>
            </w:r>
          </w:p>
        </w:tc>
        <w:tc>
          <w:tcPr>
            <w:tcW w:w="10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23,781</w:t>
            </w: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Extinguishment of debt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debt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24"/>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7"/>
        </w:trPr>
        <w:tc>
          <w:tcPr>
            <w:tcW w:w="7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w:t>
            </w: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27,112</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34,741</w:t>
            </w: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Amgen Inc. (including its consolidated subsidiaries, referred to as “Amgen,” “the Company,” “we,” “our” or “us”) is a global biotechnology pioneer that discovers, develops, manufactures and delivers innovative human therapeutics. We operate in one business segment: human therapeutics.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interim unaudited financial information for the three and nine months ended September 30, 2024 and 2023, has been prepared in accordance with GAAP and includes all adjustments (consisting of only normal, recurring adjustments unless otherwise indicated) that Amgen considers necessary for a fair presentation, in all material respects, of its condensed consolidated results of operations for those periods. Interim results are not necessarily indicative of results for the full fiscal year.</w:t>
      </w:r>
    </w:p>
    <w:p>
      <w:pPr>
        <w:spacing w:after="0" w:line="11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our consolidated financial statements and the notes thereto contained in our Annual Report on Form 10-K for the year ended December 31, 2023, and with our condensed consolidated financial statements and the notes thereto contained in our Quarterly Reports on Form 10-Q for the periods ended March 31, 2024 and June 30,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3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Amgen as well as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 variable interest entities of which we are the primary beneficiary. All material intercompany transactions and balances have been eliminated in consolidation. Certain reclassifications have been made to prior periods in the condensed consolidated financial statements and accompanying notes to conform with the current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51" w:lineRule="exact"/>
        <w:rPr>
          <w:sz w:val="20"/>
          <w:szCs w:val="20"/>
          <w:color w:val="auto"/>
        </w:rPr>
      </w:pPr>
    </w:p>
    <w:p>
      <w:pPr>
        <w:jc w:val="both"/>
        <w:ind w:firstLine="396"/>
        <w:spacing w:after="0" w:line="333" w:lineRule="auto"/>
        <w:rPr>
          <w:sz w:val="20"/>
          <w:szCs w:val="20"/>
          <w:color w:val="auto"/>
        </w:rPr>
      </w:pPr>
      <w:r>
        <w:rPr>
          <w:rFonts w:ascii="Times New Roman" w:cs="Times New Roman" w:eastAsia="Times New Roman" w:hAnsi="Times New Roman"/>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Actual results may differ from those estimates.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Property, plant and equipment is recorded at historical cost, net of accumulated depreciation and amortization, of $10.3 billion and $9.8 billion as of September 30, 2024 and December 31,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38" w:lineRule="exact"/>
        <w:rPr>
          <w:sz w:val="20"/>
          <w:szCs w:val="20"/>
          <w:color w:val="auto"/>
        </w:rPr>
      </w:pPr>
    </w:p>
    <w:p>
      <w:pPr>
        <w:jc w:val="both"/>
        <w:ind w:firstLine="396"/>
        <w:spacing w:after="0" w:line="289" w:lineRule="auto"/>
        <w:rPr>
          <w:sz w:val="20"/>
          <w:szCs w:val="20"/>
          <w:color w:val="auto"/>
        </w:rPr>
      </w:pPr>
      <w:r>
        <w:rPr>
          <w:rFonts w:ascii="Times New Roman" w:cs="Times New Roman" w:eastAsia="Times New Roman" w:hAnsi="Times New Roman"/>
          <w:sz w:val="16"/>
          <w:szCs w:val="16"/>
          <w:color w:val="auto"/>
        </w:rPr>
        <w:t>In December 2023, the Financial Accounting Standards Board (FASB) issued Accounting Standards Update (ASU) No. 2023-09, Income Taxes (Topic 740): Improvements to Income Tax Disclosures, to improve income tax disclosure requirements by requiring more detailed information on several income tax disclosures, such as enhancing disclosure of income taxes paid and requiring disaggregation of the effective income tax rate reconciliation. The standard is effective for public business entities for annual periods beginning after December 15, 2024. Early adoption is permitted, and entities may apply the standard prospectively or may elect retrospective application. We are currently evaluating the impact of adopting this new standard on our related disclosures.</w:t>
      </w:r>
    </w:p>
    <w:p>
      <w:pPr>
        <w:spacing w:after="0" w:line="9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Improving Reportable Segment Disclosures, to improve reportable segment disclosure requirements through enhanced disclosures about significant segment expenses and additional interim segment reporting disclosures, including for companies with a single reportable segment. The standard is effective for public business entities for annual periods beginning after December 15, 2023 and interim periods beginning after December 15, 2024. Early adoption is permitted, and the standard requires retrospective application to all prior</w:t>
      </w:r>
    </w:p>
    <w:p>
      <w:pPr>
        <w:spacing w:after="0" w:line="37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periods presented. We expect the adoption of this new standard to result in incremental disclosures to the notes to our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Horizon Therapeutics plc</w:t>
      </w:r>
    </w:p>
    <w:p>
      <w:pPr>
        <w:spacing w:after="0" w:line="15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On October 6, 2023, Amgen completed its acquisition of Horizon by acquiring all of the outstanding shares of Horizon for $116.50 per share in cash, representing a total consideration of approximately $27.8 billion. Horizon is a global biotechnology company focused on the discovery, development and commercialization of medicines that address critical needs of patients impacted by rare, autoimmune and severe inflammatory diseases. The acquisition, which was accounted for as a business combination, aligns with Amgen’s core strategy of delivering innovative medicines that make a significant difference for patients suffering from serious diseases and strengthens Amgen’s leading rare disease portfolio by adding first-in-class, early-in-lifecycle medicines, including TEPEZZA for thyroid eye disease, KRYSTEXXA for chronic refractory gout and UPLIZNA for neuromyelitis optica spectrum disorder. Upon its acquisition, Horizon became a wholly owned subsidiary of Amgen, and its operations have been included in our consolidated financial statements commencing on the acquisition date.</w:t>
      </w:r>
    </w:p>
    <w:p>
      <w:pPr>
        <w:spacing w:after="0" w:line="12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During the nine months ended September 30, 2024, the purchase price allocation of the acquisition was completed and measurement period adjustments were finalized, which included changes to the purchase price allocation that resulted in a net increase of approximately $25 million to goodwill. The measurement period adjustments resulted primarily from adjustments to acquired assets and liabilities, including deferred tax attributes, based on facts and circumstances that existed as of the acquisition date and did not result from events subsequent to the acquisition date. The adjustments did not have a significant impact on Amgen’s results of operations during the nine months ended September 30, 2024, and would not have had a significant impact on prior period results if the adjustments had been made as of the acquisition date.</w:t>
      </w:r>
    </w:p>
    <w:p>
      <w:pPr>
        <w:spacing w:after="0" w:line="110"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final total consideration and allocated acquisition date fair values of assets acquired and liabilities assumed, inclusive of measurement period adjustments (in millions):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4"/>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4"/>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 developed-product-technology rights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4"/>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4"/>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7"/>
        </w:trPr>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 acquired, net of liabilities assumed</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27,833</w:t>
            </w:r>
          </w:p>
        </w:tc>
      </w:tr>
      <w:tr>
        <w:trPr>
          <w:trHeight w:val="20"/>
        </w:trPr>
        <w:tc>
          <w:tcPr>
            <w:tcW w:w="9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$27.8 billion total consideration for this transaction consisted of (i) cash consideration transferred to common shareholders of $26.7 billion; (ii) cash consideration transferred to vested and outstanding stock options, outstanding restricted stock unit (RSU) awards and outstanding performance stock unit (PSU) awards of $523 million; (iii) the fair value of Amgen replacement awards (based on conversion of outstanding employee RSU awards) of $180 million representing noncash consideration; and (iv) a portion of Horizon’s debt, settled by Amgen on the acquisition closing date, of $382 million. Amgen issued 1.7 million replacement equity awards with the original vesting conditions, the fair value of which was determined based on the acquisition date fair value based on the conversion calculation.</w:t>
      </w:r>
    </w:p>
    <w:p>
      <w:pPr>
        <w:spacing w:after="0" w:line="123"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estimated fair values of $20.7 billion for the developed-product-technology rights and IPR&amp;D intangible assets were determined using a multi-period excess earnings income approach that discounts expected future cash flows to present value by applying a discount rate that represents the estimated rate that market participants would use to value the intangible assets. The projected cash flows were based on certain assumptions attributable to the respective intangible asset, including estimates of future revenues and expenses, the time and resources needed to complete development and the probabilities of obtaining marketing approval from the FDA and other regulatory agencies. The developed-product-technology rights are being amortized on a straight-line basis over a weighted-average period of approximately 10 years from the acquisition date using the straight-line methodology.</w:t>
      </w:r>
    </w:p>
    <w:p>
      <w:pPr>
        <w:spacing w:after="0" w:line="200" w:lineRule="exact"/>
        <w:rPr>
          <w:sz w:val="20"/>
          <w:szCs w:val="20"/>
          <w:color w:val="auto"/>
        </w:rPr>
      </w:pPr>
    </w:p>
    <w:p>
      <w:pPr>
        <w:spacing w:after="0" w:line="31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2" w:name="page13"/>
    <w:bookmarkEnd w:id="12"/>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estimated fair value of the acquired inventory of $5.0 billion was determined using the comparative sales method, which uses actual or expected selling prices of inventory as the base amount to which adjustments for selling effort and a profit on the buyer’s effort are applied. The inventory fair value adjustment is being amortized using a weighted-average inventory turnover, which we estimate to approximate 27 months from the acquisition date.</w:t>
      </w:r>
    </w:p>
    <w:p>
      <w:pPr>
        <w:spacing w:after="0" w:line="10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 deferred tax liability of $2.5 billion was recognized on the temporary differences related to the book bases and tax bases of the acquired identifiable assets and assumed liabilities, primarily driven by the intangible assets acquired, as well as an associated deferred tax asset for anticipatory foreign tax credits of $795 million.</w:t>
      </w:r>
    </w:p>
    <w:p>
      <w:pPr>
        <w:spacing w:after="0" w:line="11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excess of the acquisition date consideration over the fair values assigned to the assets acquired and the liabilities assumed of $3.1 billion was recorded as goodwill, which is not deductible for tax purposes. The goodwill value represents expected synergies from the marketed products acquired and other benefits.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Supplemental Pro Forma Financial Information</w:t>
      </w:r>
    </w:p>
    <w:p>
      <w:pPr>
        <w:spacing w:after="0" w:line="138"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unaudited supplemental pro forma results of a hypothetical combined Amgen and Horizon entity for the three and nine months ended September 30, 2023, as if the acquisition of Horizon had occurred on January 1, 2022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220" w:type="dxa"/>
            <w:vAlign w:val="bottom"/>
          </w:tcPr>
          <w:p>
            <w:pPr>
              <w:spacing w:after="0"/>
              <w:rPr>
                <w:sz w:val="13"/>
                <w:szCs w:val="13"/>
                <w:color w:val="auto"/>
              </w:rPr>
            </w:pPr>
          </w:p>
        </w:tc>
        <w:tc>
          <w:tcPr>
            <w:tcW w:w="16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6"/>
                <w:szCs w:val="16"/>
                <w:color w:val="auto"/>
              </w:rPr>
            </w:pPr>
          </w:p>
        </w:tc>
        <w:tc>
          <w:tcPr>
            <w:tcW w:w="16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3"/>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22,728</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r>
    </w:tbl>
    <w:p>
      <w:pPr>
        <w:spacing w:after="0" w:line="20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unaudited supplemental pro forma combined financial information was prepared using the acquisition method of accounting and was based on the historical financial information of Amgen and Horizon. In order to reflect the occurrence of the acquisition on January 1, 2022, the unaudited supplemental pro forma financial information includes adjustments to reflect the following: (i) incremental amortization expense based on the fair values of the identifiable intangible assets and inventory step-up; (ii) the additional interest expense associated with the issuance of debt to finance the acquisition; and (iii) the income tax impact using an estimated effective tax rate applied to the combined entity. The unaudited supplemental pro forma financial information is not necessarily indicative of what the condensed consolidated results of operations would have been had the acquisition been completed on January 1, 2022. In addition, the unaudited supplemental pro forma financial information is not a projection of future results of operations of the combined company, nor does it reflect the expected realization of any synergies or cost savings associated with the acquisition.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operate in one business segment: human therapeutics. Therefore, results of our operations are reported on a consolidated basis for purposes of segment reporting, consistent with internal management reporting. Revenues by product and by geographic area, based on customers’ locations, are presented below. The majority of ROW revenues relates to products sold in Europe.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3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1"/>
        </w:trPr>
        <w:tc>
          <w:tcPr>
            <w:tcW w:w="3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Prolia</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ENBREL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XGEVA</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Repatha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Otezla</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4"/>
        </w:trPr>
        <w:tc>
          <w:tcPr>
            <w:tcW w:w="38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TEPEZZA</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KYPROLIS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Nplate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Aranesp</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4"/>
        </w:trPr>
        <w:tc>
          <w:tcPr>
            <w:tcW w:w="38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KRYSTEXXA</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BLINCYTO</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Vectibix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4"/>
        </w:trPr>
        <w:tc>
          <w:tcPr>
            <w:tcW w:w="38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TEZSPIRE</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4"/>
        </w:trPr>
        <w:tc>
          <w:tcPr>
            <w:tcW w:w="38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2"/>
                <w:szCs w:val="22"/>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17"/>
        </w:trPr>
        <w:tc>
          <w:tcPr>
            <w:tcW w:w="38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Total product sales</w:t>
            </w:r>
            <w:r>
              <w:rPr>
                <w:rFonts w:ascii="Times New Roman" w:cs="Times New Roman" w:eastAsia="Times New Roman" w:hAnsi="Times New Roman"/>
                <w:sz w:val="22"/>
                <w:szCs w:val="22"/>
                <w:color w:val="auto"/>
                <w:vertAlign w:val="superscript"/>
              </w:rPr>
              <w:t>(4)</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191"/>
        </w:trPr>
        <w:tc>
          <w:tcPr>
            <w:tcW w:w="38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355</w:t>
            </w:r>
          </w:p>
        </w:tc>
      </w:tr>
      <w:tr>
        <w:trPr>
          <w:trHeight w:val="217"/>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3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1"/>
        </w:trPr>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14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8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Prolia</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ENBREL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XGEVA</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Repatha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Otezla</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4"/>
        </w:trPr>
        <w:tc>
          <w:tcPr>
            <w:tcW w:w="38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TEPEZZA</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KYPROLIS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Nplate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Aranesp</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4"/>
        </w:trPr>
        <w:tc>
          <w:tcPr>
            <w:tcW w:w="38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KRYSTEXXA</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BLINCYTO</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Vectibix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4"/>
        </w:trPr>
        <w:tc>
          <w:tcPr>
            <w:tcW w:w="38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TEZSPIRE</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4"/>
        </w:trPr>
        <w:tc>
          <w:tcPr>
            <w:tcW w:w="38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2"/>
                <w:szCs w:val="22"/>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17"/>
        </w:trPr>
        <w:tc>
          <w:tcPr>
            <w:tcW w:w="38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Total product sales</w:t>
            </w:r>
            <w:r>
              <w:rPr>
                <w:rFonts w:ascii="Times New Roman" w:cs="Times New Roman" w:eastAsia="Times New Roman" w:hAnsi="Times New Roman"/>
                <w:sz w:val="22"/>
                <w:szCs w:val="22"/>
                <w:color w:val="auto"/>
                <w:vertAlign w:val="superscript"/>
              </w:rPr>
              <w:t>(4)</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19,077</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191"/>
        </w:trPr>
        <w:tc>
          <w:tcPr>
            <w:tcW w:w="38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917</w:t>
            </w:r>
          </w:p>
        </w:tc>
      </w:tr>
      <w:tr>
        <w:trPr>
          <w:trHeight w:val="217"/>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19,994</w:t>
            </w:r>
          </w:p>
        </w:tc>
      </w:tr>
      <w:tr>
        <w:trPr>
          <w:trHeight w:val="20"/>
        </w:trPr>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w:t>
      </w:r>
    </w:p>
    <w:p>
      <w:pPr>
        <w:spacing w:after="0" w:line="33" w:lineRule="exact"/>
        <w:rPr>
          <w:sz w:val="20"/>
          <w:szCs w:val="20"/>
          <w:color w:val="auto"/>
        </w:rPr>
      </w:pPr>
    </w:p>
    <w:p>
      <w:pPr>
        <w:ind w:left="200" w:hanging="194"/>
        <w:spacing w:after="0"/>
        <w:tabs>
          <w:tab w:leader="none" w:pos="20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TEPEZZA and KRYSTEXXA were acquired from the acquisition of Horizon on October 6, 2023, and include product sales in the periods after the acquisition date.</w:t>
      </w:r>
    </w:p>
    <w:p>
      <w:pPr>
        <w:spacing w:after="0" w:line="96" w:lineRule="exact"/>
        <w:rPr>
          <w:rFonts w:ascii="Times New Roman" w:cs="Times New Roman" w:eastAsia="Times New Roman" w:hAnsi="Times New Roman"/>
          <w:sz w:val="18"/>
          <w:szCs w:val="18"/>
          <w:color w:val="auto"/>
          <w:vertAlign w:val="superscript"/>
        </w:rPr>
      </w:pPr>
    </w:p>
    <w:p>
      <w:pPr>
        <w:ind w:left="200" w:hanging="194"/>
        <w:spacing w:after="0"/>
        <w:tabs>
          <w:tab w:leader="none" w:pos="20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TEZSPIRE is marketed by our collaborator AstraZeneca outside the United States.</w:t>
      </w:r>
    </w:p>
    <w:p>
      <w:pPr>
        <w:spacing w:after="0" w:line="109" w:lineRule="exact"/>
        <w:rPr>
          <w:rFonts w:ascii="Times New Roman" w:cs="Times New Roman" w:eastAsia="Times New Roman" w:hAnsi="Times New Roman"/>
          <w:sz w:val="18"/>
          <w:szCs w:val="18"/>
          <w:color w:val="auto"/>
          <w:vertAlign w:val="superscript"/>
        </w:rPr>
      </w:pPr>
    </w:p>
    <w:p>
      <w:pPr>
        <w:ind w:left="200" w:hanging="194"/>
        <w:spacing w:after="0"/>
        <w:tabs>
          <w:tab w:leader="none" w:pos="20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Consists of product sales of our non-principal products.</w:t>
      </w:r>
    </w:p>
    <w:p>
      <w:pPr>
        <w:spacing w:after="0" w:line="96" w:lineRule="exact"/>
        <w:rPr>
          <w:rFonts w:ascii="Times New Roman" w:cs="Times New Roman" w:eastAsia="Times New Roman" w:hAnsi="Times New Roman"/>
          <w:sz w:val="18"/>
          <w:szCs w:val="18"/>
          <w:color w:val="auto"/>
          <w:vertAlign w:val="superscript"/>
        </w:rPr>
      </w:pPr>
    </w:p>
    <w:p>
      <w:pPr>
        <w:ind w:left="200" w:hanging="194"/>
        <w:spacing w:after="0"/>
        <w:tabs>
          <w:tab w:leader="none" w:pos="20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Hedging gains and losses, which are included in product sales, were not material for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38"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2024, were 8.7% and 9.5%, respectively, compared with 11.1% and 15.0%, respectively, for the corresponding periods in the prior year.</w:t>
      </w:r>
    </w:p>
    <w:p>
      <w:pPr>
        <w:spacing w:after="0" w:line="103"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The decrease in our effective tax rate for the three months ended September 30, 2024, was primarily due to the earnings mix as a result of the inclusion of the Horizon business (including the amortization of Horizon acquired assets), partially offset by the quarter-to-date unrealized gains on our strategic equity investments (primarily BeiGene). See Note 6, Investments</w:t>
      </w:r>
      <w:r>
        <w:rPr>
          <w:rFonts w:ascii="Times New Roman" w:cs="Times New Roman" w:eastAsia="Times New Roman" w:hAnsi="Times New Roman"/>
          <w:sz w:val="18"/>
          <w:szCs w:val="18"/>
          <w:i w:val="1"/>
          <w:iCs w:val="1"/>
          <w:color w:val="auto"/>
        </w:rPr>
        <w:t>—BeiGene, Ltd.</w:t>
      </w:r>
      <w:r>
        <w:rPr>
          <w:rFonts w:ascii="Times New Roman" w:cs="Times New Roman" w:eastAsia="Times New Roman" w:hAnsi="Times New Roman"/>
          <w:sz w:val="18"/>
          <w:szCs w:val="18"/>
          <w:color w:val="auto"/>
        </w:rPr>
        <w:t xml:space="preserve"> The decrease in our effective tax rate for the nine months ended September 30, 2024, was primarily due to the earnings mix as a result of the inclusion of the Horizon business (including the amortization of Horizon acquired assets). The effective tax rates differ from the federal statutory rate primarily due to the impact of the jurisdictional mix of income and expenses. Substantially all of the benefit to our effective tax rate from foreign earnings results from locations where the Company has significant manufacturing operations, including Singapore, Ireland and Puerto Rico, a territory of the United States that is treated as a foreign jurisdiction for U.S. tax purposes. Our operations in Puerto Rico are subject to a tax incentive grant through 2050. Additionally, the Company’s operations conducted in Singapore are subject to a tax incentive grant through 2036. Our foreign earnings are also subject to U.S. tax at a reduced rate of 10.5%. Additionally, effective January 1, 2024, selected individual countries, including the United Kingdom and EU member countries, have enacted the global minimum tax agreement. Our legal entities in such countries, along with their direct and indirect subsidiaries, are now subject to a 15% minimum tax rate on adjusted financial statement income.</w:t>
      </w:r>
    </w:p>
    <w:p>
      <w:pPr>
        <w:spacing w:after="0" w:line="123"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Beginning on January 1, 2023, we were no longer subject to a 4% excise tax in the U.S. territory of Puerto Rico on the gross intercompany purchase price of goods and services from our manufacturer in Puerto Rico. We qualify for and are subject to the alternative income tax rate on industrial development income of our Puerto Rico affiliate. In the United States, this income tax qualifies for foreign tax credits. Both this income tax and the associated foreign tax credits are generally recognized in our provision for income taxes. We accounted for the 2022 excise tax that was capitalized in Inventories as an expense in Cost of sales when the related products were sold in the first half of 2023, and a foreign tax credit was not recognized with respect to the excise tax expense in 2023. We do not have this excise tax exposure in 2024.</w:t>
      </w:r>
    </w:p>
    <w:p>
      <w:pPr>
        <w:spacing w:after="0" w:line="11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One or more of our legal entities file income tax returns in the U.S. federal jurisdiction, various U.S. state jurisdictions and certain foreign jurisdictions. Our income tax returns are routinely examined by tax authorities in those jurisdictions. Significant disputes can and have arisen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spacing w:after="0" w:line="12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25"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11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firmly believe that the IRS positions set forth in the 2010–2012 and 2013–2015 Notices are without merit. We are contesting the 2010–2012 and 2013–2015 Notices through the judicial process. The two cases were consolidated in the U.S. Tax Court on December 19, 2022. The trial is currently scheduled to begin on November 4, 2024.</w:t>
      </w:r>
    </w:p>
    <w:p>
      <w:pPr>
        <w:spacing w:after="0" w:line="11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We are currently under examination by the IRS for the years 2016–2018 with respect to issues similar to those for the 2010 through 2015 period. In addition, we are under examination by a number of state and foreign tax jurisdictions.</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6" w:name="page17"/>
    <w:bookmarkEnd w:id="16"/>
    <w:p>
      <w:pPr>
        <w:jc w:val="both"/>
        <w:ind w:firstLine="396"/>
        <w:spacing w:after="0" w:line="294" w:lineRule="auto"/>
        <w:rPr>
          <w:sz w:val="20"/>
          <w:szCs w:val="20"/>
          <w:color w:val="auto"/>
        </w:rPr>
      </w:pPr>
      <w:r>
        <w:rPr>
          <w:rFonts w:ascii="Times New Roman" w:cs="Times New Roman" w:eastAsia="Times New Roman" w:hAnsi="Times New Roman"/>
          <w:sz w:val="16"/>
          <w:szCs w:val="16"/>
          <w:color w:val="auto"/>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spacing w:after="0" w:line="74" w:lineRule="exact"/>
        <w:rPr>
          <w:sz w:val="20"/>
          <w:szCs w:val="20"/>
          <w:color w:val="auto"/>
        </w:rPr>
      </w:pPr>
    </w:p>
    <w:p>
      <w:pPr>
        <w:jc w:val="both"/>
        <w:ind w:firstLine="396"/>
        <w:spacing w:after="0" w:line="333" w:lineRule="auto"/>
        <w:rPr>
          <w:sz w:val="20"/>
          <w:szCs w:val="20"/>
          <w:color w:val="auto"/>
        </w:rPr>
      </w:pPr>
      <w:r>
        <w:rPr>
          <w:rFonts w:ascii="Times New Roman" w:cs="Times New Roman" w:eastAsia="Times New Roman" w:hAnsi="Times New Roman"/>
          <w:sz w:val="16"/>
          <w:szCs w:val="16"/>
          <w:color w:val="auto"/>
        </w:rPr>
        <w:t>During the three and nine months ended September 30, 2024, the gross amounts of our UTBs increased by $40 million and $120 million, respectively, as a result of tax positions taken during the current year. Substantially all of the UTBs as of September 30, 2024, if recognized, would affect our effective tax rate.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5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computations for basic and diluted EPS were as follows (in millions, except per-share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213"/>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r>
      <w:tr>
        <w:trPr>
          <w:trHeight w:val="37"/>
        </w:trPr>
        <w:tc>
          <w:tcPr>
            <w:tcW w:w="52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5"/>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for basic and diluted EPS</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(Denominator):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shares for basic EPS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4"/>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shares for diluted EPS</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r>
    </w:tbl>
    <w:p>
      <w:pPr>
        <w:spacing w:after="0" w:line="215"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number of antidilutive employee stock-based awards excluded from the computation of diluted EPS was not significant.</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fair values of interest-bearing securities, which are considered available-for-sale, by type of security were as follows (in millions):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80" w:type="dxa"/>
            <w:vAlign w:val="bottom"/>
            <w:vMerge w:val="restart"/>
          </w:tcPr>
          <w:p>
            <w:pPr>
              <w:jc w:val="center"/>
              <w:ind w:left="81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940" w:type="dxa"/>
            <w:vAlign w:val="bottom"/>
            <w:vMerge w:val="restart"/>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Types of securities as of September 30, 2024</w:t>
            </w:r>
          </w:p>
        </w:tc>
        <w:tc>
          <w:tcPr>
            <w:tcW w:w="2480" w:type="dxa"/>
            <w:vAlign w:val="bottom"/>
            <w:vMerge w:val="continue"/>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vMerge w:val="continue"/>
          </w:tcPr>
          <w:p>
            <w:pPr>
              <w:spacing w:after="0"/>
              <w:rPr>
                <w:sz w:val="16"/>
                <w:szCs w:val="16"/>
                <w:color w:val="auto"/>
              </w:rPr>
            </w:pPr>
          </w:p>
        </w:tc>
        <w:tc>
          <w:tcPr>
            <w:tcW w:w="2480" w:type="dxa"/>
            <w:vAlign w:val="bottom"/>
          </w:tcPr>
          <w:p>
            <w:pPr>
              <w:jc w:val="center"/>
              <w:ind w:left="79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4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7"/>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40" w:type="dxa"/>
            <w:vAlign w:val="bottom"/>
          </w:tcPr>
          <w:p>
            <w:pPr>
              <w:spacing w:after="0"/>
              <w:rPr>
                <w:sz w:val="24"/>
                <w:szCs w:val="24"/>
                <w:color w:val="auto"/>
              </w:rPr>
            </w:pPr>
          </w:p>
        </w:tc>
        <w:tc>
          <w:tcPr>
            <w:tcW w:w="116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securities as of December 31, 2023</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0" w:type="dxa"/>
            <w:vAlign w:val="bottom"/>
          </w:tcPr>
          <w:p>
            <w:pPr>
              <w:spacing w:after="0"/>
              <w:rPr>
                <w:sz w:val="1"/>
                <w:szCs w:val="1"/>
                <w:color w:val="auto"/>
              </w:rPr>
            </w:pPr>
          </w:p>
        </w:tc>
      </w:tr>
      <w:tr>
        <w:trPr>
          <w:trHeight w:val="224"/>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7"/>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interest-bearing securities by location in the Condensed Consolidated Balance Sheets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locations</w:t>
            </w: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62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r>
      <w:tr>
        <w:trPr>
          <w:trHeight w:val="217"/>
        </w:trPr>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Cash and cash equivalents in the above table excludes bank account cash of $435 million and $540 million as of September 30, 2024 and December 31, 2023, respectively.</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 interest-bearing securities as of September 30, 2024 and December 31, 2023, mature in one year or less.</w:t>
      </w:r>
    </w:p>
    <w:p>
      <w:pPr>
        <w:spacing w:after="0" w:line="13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realized gains and losses on interest-bearing securities were not material. Realized gains and losses on interest-bearing securities are recorded in Other income, net, in the Condensed Consolidated Statements of Income. The cost of securities sold is based on the specific-identification method.</w:t>
      </w:r>
    </w:p>
    <w:p>
      <w:pPr>
        <w:spacing w:after="0" w:line="11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BeiGene, Ltd.</w:t>
      </w:r>
    </w:p>
    <w:p>
      <w:pPr>
        <w:spacing w:after="0" w:line="15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ownership interest in BeiGene was approximately 18% as of both September 30, 2024 and December 31, 2023, and the fair values of our investment were $4.3 billion and $3.4 billion, respectively, which are included in Other noncurrent assets in the Condensed Consolidated Balance Sheets. In the first quarter of 2023, we began to account for our ownership interest as an equity security with a readily determinable fair value, with changes in fair value recorded in Other income, net, in our Condensed Consolidated Statements of Income. See Note 11, Fair value measurement. During the three months ended September 30, 2024 and 2023, we recognized unrealized gains of $1.6 billion and $30 million, respectively, recorded in Other income, net, in our Condensed Consolidated Statements of Income. During the nine months ended September 30, 2024 and 2023, we recognized unrealized gains of $836 million and $1.2 billion, respectively, recorded in Other income, net, in our Condensed Consolidated Statements of Income.</w:t>
      </w:r>
    </w:p>
    <w:p>
      <w:pPr>
        <w:spacing w:after="0" w:line="200" w:lineRule="exact"/>
        <w:rPr>
          <w:sz w:val="20"/>
          <w:szCs w:val="20"/>
          <w:color w:val="auto"/>
        </w:rPr>
      </w:pPr>
    </w:p>
    <w:p>
      <w:pPr>
        <w:spacing w:after="0" w:line="3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8" w:name="page19"/>
    <w:bookmarkEnd w:id="18"/>
    <w:p>
      <w:pPr>
        <w:ind w:firstLine="396"/>
        <w:spacing w:after="0" w:line="286" w:lineRule="auto"/>
        <w:rPr>
          <w:sz w:val="20"/>
          <w:szCs w:val="20"/>
          <w:color w:val="auto"/>
        </w:rPr>
      </w:pPr>
      <w:r>
        <w:rPr>
          <w:rFonts w:ascii="Times New Roman" w:cs="Times New Roman" w:eastAsia="Times New Roman" w:hAnsi="Times New Roman"/>
          <w:sz w:val="16"/>
          <w:szCs w:val="16"/>
          <w:color w:val="auto"/>
        </w:rPr>
        <w:t>Subject to certain exceptions or otherwise agreed to by BeiGene, while Amgen holds at least 5.0% of BeiGene’s outstanding common stock, (A) we may only sell our BeiGene equity investment via: (i) a registered public offering, (ii) a sale under Rule 144 of the Securities Act of 1933 (the “Securities Act”) or</w:t>
      </w:r>
    </w:p>
    <w:p>
      <w:pPr>
        <w:spacing w:after="0" w:line="1" w:lineRule="exact"/>
        <w:rPr>
          <w:sz w:val="20"/>
          <w:szCs w:val="20"/>
          <w:color w:val="auto"/>
        </w:rPr>
      </w:pPr>
    </w:p>
    <w:p>
      <w:pPr>
        <w:ind w:firstLine="6"/>
        <w:spacing w:after="0" w:line="249"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sale exempt from registration requirements under the Securities Act, and (B) we may not sell more than 5.0% of BeiGene’s outstanding common stock in any rolling 12-month period.</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equity securities</w:t>
      </w:r>
    </w:p>
    <w:p>
      <w:pPr>
        <w:spacing w:after="0" w:line="15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Excluding our equity investments in BeiGene (discussed above) and Neumora (discussed below), we held investments in other equity securities with readily determinable fair values (publicly traded securities) of $336 million and $494 million as of September 30, 2024 and December 31, 2023, respectively, which are included in Other noncurrent assets in the Condensed Consolidated Balance Sheets. During the three and nine months ended September 30, 2024 and 2023, net unrealized gains and losses on these publicly traded securities were not material. Additionally, net realized gains and losses on sales of publicly traded securities for the three and nine months ended September 30, 2024 and 2023, were not material.</w:t>
      </w:r>
    </w:p>
    <w:p>
      <w:pPr>
        <w:spacing w:after="0" w:line="12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held investments of $318 million and $309 million in equity securities without readily determinable fair values as of September 30, 2024 and December 31, 2023, respectively, which are included in Other noncurrent assets in the Condensed Consolidated Balance Sheets. During the three and nine months ended September 30, 2024 and 2023, upward and downward adjustments on these securities were not material. Adjustments were based on observable price transactions. Net realized gains and losses on sales of securities without readily determinable fair values for the three and nine months ended September 30, 2024 and 2023, were not material.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Neumora Therapeutics, Inc.</w:t>
      </w:r>
    </w:p>
    <w:p>
      <w:pPr>
        <w:spacing w:after="0" w:line="15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As of September 30, 2024 and December 31, 2023, our ownership interests in Neumora were approximately 22.1% and 23.2%, respectively, and the fair values of our investment were $467 million and $603 million, respectively, which are included in Other noncurrent assets in the Condensed Consolidated Balance Sheets. Although our equity investment qualifies us for the equity method of accounting, we have elected the fair value option to account for our investment. Under the fair value option, changes in the fair value of the investment are recognized through earnings in Other income, net, in our Condensed Consolidated Statements of Income each reporting period. See Note 11, Fair value measurement. We believe the fair value option best reflects the economics of the underlying transaction. During the three months ended September 30, 2024 and 2023, we recognized unrealized gains of $119 million and $153 million, respectively, and during the nine months ended September 30, 2024 and 2023, we recognized $136 million of unrealized losses and $134 million of unrealized gains, respectively.</w:t>
      </w:r>
    </w:p>
    <w:p>
      <w:pPr>
        <w:spacing w:after="0" w:line="109"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We are contractually restricted from selling more than 5.0% of Neumora’s outstanding common stock in any rolling 12-month period for as long as we hold at least 10.0% of their outstanding common stock, subject to certain exceptions or otherwise agreed to by Neumora.</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Limited partnerships</w:t>
      </w:r>
    </w:p>
    <w:p>
      <w:pPr>
        <w:spacing w:after="0" w:line="15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held limited partnership investments of $272 million and $251 million as of September 30, 2024 and December 31, 2023, respectively, which are included in Other noncurrent assets in the Condensed Consolidated Balance Sheets. These investments,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September 30, 2024, unfunded additional commitments to be made for these investments during the next several years amounted to $139 million. For the three and nine months ended September 30, 2024 and 2023, net unrealized gains and losses from our limited partnership investments were not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6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17"/>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1"/>
        </w:trPr>
        <w:tc>
          <w:tcPr>
            <w:tcW w:w="9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43"/>
        </w:trPr>
        <w:tc>
          <w:tcPr>
            <w:tcW w:w="9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6"/>
        </w:trPr>
        <w:tc>
          <w:tcPr>
            <w:tcW w:w="9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change in the carrying amount of goodwill was as follows (in millions):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9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4"/>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r>
      <w:tr>
        <w:trPr>
          <w:trHeight w:val="224"/>
        </w:trPr>
        <w:tc>
          <w:tcPr>
            <w:tcW w:w="934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Adjustments to goodwill resulting from acquisitions </w:t>
            </w:r>
            <w:r>
              <w:rPr>
                <w:rFonts w:ascii="Times New Roman" w:cs="Times New Roman" w:eastAsia="Times New Roman" w:hAnsi="Times New Roman"/>
                <w:sz w:val="22"/>
                <w:szCs w:val="22"/>
                <w:color w:val="auto"/>
                <w:vertAlign w:val="superscript"/>
              </w:rPr>
              <w:t>(1)</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18,658</w:t>
            </w:r>
          </w:p>
        </w:tc>
      </w:tr>
      <w:tr>
        <w:trPr>
          <w:trHeight w:val="20"/>
        </w:trPr>
        <w:tc>
          <w:tcPr>
            <w:tcW w:w="9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57" w:lineRule="exact"/>
        <w:rPr>
          <w:sz w:val="20"/>
          <w:szCs w:val="20"/>
          <w:color w:val="auto"/>
        </w:rPr>
      </w:pPr>
    </w:p>
    <w:p>
      <w:pPr>
        <w:ind w:left="280" w:hanging="274"/>
        <w:spacing w:after="0"/>
        <w:tabs>
          <w:tab w:leader="none" w:pos="2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nine months ended September 30, 2024, adjustments to goodwill consisted of measurement period adjustments related to our Horizon acquisition. See Note 2,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intangible assets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 intangible</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 intangible</w:t>
            </w: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Developed-product-technology rights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48,636</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30,582</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Licensing rights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4"/>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Marketing-related rights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technology rights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7"/>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31,423</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42"/>
        </w:trPr>
        <w:tc>
          <w:tcPr>
            <w:tcW w:w="3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94" w:lineRule="auto"/>
        <w:rPr>
          <w:sz w:val="20"/>
          <w:szCs w:val="20"/>
          <w:color w:val="auto"/>
        </w:rPr>
      </w:pPr>
      <w:r>
        <w:rPr>
          <w:rFonts w:ascii="Times New Roman" w:cs="Times New Roman" w:eastAsia="Times New Roman" w:hAnsi="Times New Roman"/>
          <w:sz w:val="16"/>
          <w:szCs w:val="16"/>
          <w:color w:val="auto"/>
        </w:rPr>
        <w:t>Developed-product-technology rights consists of rights related to marketed products. Licensing rights primarily consists of contractual rights to receive future milestone, royalty and profit-sharing payments; capitalized payments to third parties for milestones related to regulatory approvals to commercialize products; and upfront payments associated with royalty obligations for marketed products. Marketing-related rights primarily consists of rights related to the sale and distribution of marketed products. R&amp;D technology rights pertain to technologies used in R&amp;D that have alternative future uses.</w:t>
      </w:r>
    </w:p>
    <w:p>
      <w:pPr>
        <w:spacing w:after="0" w:line="8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IPR&amp;D consists of R&amp;D projects acquired in a business combination that are not complete at the time of acquisition due to remaining technological risks and/or lack of receipt of required regulatory approvals. We review IPR&amp;D projects for impairment annually, whenever events or changes in circumstances indicate that the carrying amounts may not be recoverable and upon the establishment of technological feasibility or regulatory approval.</w:t>
      </w:r>
    </w:p>
    <w:p>
      <w:pPr>
        <w:spacing w:after="0" w:line="113"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During the three months ended September 30, 2024 and 2023, we recognized amortization associated with our finite-lived intangible assets of $1.2 billion and $693 million, respectively. During the nine months ended September 30, 2024 and 2023, we recognized amortization associated with our finite-lived intangible assets of $3.6 billion and $2.1 billion, respectively. Amortization of intangible assets is primarily included in Cost of sales in the Condensed Consolidated Statements of Income. As of September 30, 2024, the total estimated amortization of our finite-lived intangible assets for the remaining three months ending December 31, 2024, and the years ending December 31, 2025, 2026, 2027, 2028 and 2029, are $1.2 billion, $4.5 billion, $3.9 billion, $3.9 billion, $2.9 billion and $2.2 billion, respectively.</w:t>
      </w:r>
    </w:p>
    <w:p>
      <w:pPr>
        <w:spacing w:after="0" w:line="200" w:lineRule="exact"/>
        <w:rPr>
          <w:sz w:val="20"/>
          <w:szCs w:val="20"/>
          <w:color w:val="auto"/>
        </w:rPr>
      </w:pPr>
    </w:p>
    <w:p>
      <w:pPr>
        <w:spacing w:after="0" w:line="31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9. Financing arrangements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borrowings consisted of the following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54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notes due 2024 (3.625% 2024 Notes)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 notes due 2025 (1.90% 2025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 notes due 2025 (5.25% 2025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April 2025</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 notes due 2025 (3.125% 2025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€750 million notes due 2026 (2.00% 2026 euro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5.507% notes due 2026 (5.507% 2026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2.60% notes due 2026 (2.60% 2026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October 2026</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 £475 million notes due 2026 (5.50% 2026 pound sterling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2.20% notes due 2027 (2.20% 2027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 notes due 2027 (3.20% 2027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5.15% notes due 2028 (5.15% 2028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1.65% notes due 2028 (1.65% 2028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notes due 2029 (3.00% 2029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4.05% notes due 2029 (4.05% 2029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£700 million notes due 2029 (4.00% 2029 pound sterling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2.45% notes due 2030 (2.45% 2030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 notes due 2030 (5.25% 2030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 notes due 2031 (2.30% 2031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notes due 2032 (2.00% 2032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 notes due 2032 (3.35% 2032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4.20% notes due 2033 (4.20% 2033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 notes due 2033 (5.25% 2033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notes due 2037 (6.375% 2037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6.90% notes due 2038 (6.90% 2038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6.40% notes due 2039 (6.40% 2039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 notes due 2040 (3.15% 2040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5.75% notes due 2040 (5.75% 2040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2.80% notes due 2041 (2.80% 2041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4.95% notes due 2041 (4.95% 2041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 notes due 2041 (5.15% 2041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5.65% notes due 2042 (5.65% 2042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5.60% notes due 2043 (5.60% 2043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notes due 2043 (5.375% 2043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 notes due 2045 (4.40% 2045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4.563% notes due 2048 (4.563% 2048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 notes due 2050 (3.375% 2050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4.663% notes due 2051 (4.663% 2051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notes due 2052 (3.00% 2052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4.20% notes due 2052 (4.20% 2052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4.875% notes due 2053 (4.875% 2053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5.65% notes due 2053 (5.65% 2053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 notes due 2053 (2.77% 2053 Notes)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4.40% notes due 2062 (4.40% 2062 Notes)</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843"/>
        </w:trPr>
        <w:tc>
          <w:tcPr>
            <w:tcW w:w="5400" w:type="dxa"/>
            <w:vAlign w:val="bottom"/>
          </w:tcPr>
          <w:p>
            <w:pPr>
              <w:spacing w:after="0"/>
              <w:rPr>
                <w:sz w:val="24"/>
                <w:szCs w:val="24"/>
                <w:color w:val="auto"/>
              </w:rPr>
            </w:pPr>
          </w:p>
        </w:tc>
        <w:tc>
          <w:tcPr>
            <w:tcW w:w="2020" w:type="dxa"/>
            <w:vAlign w:val="bottom"/>
          </w:tcPr>
          <w:p>
            <w:pPr>
              <w:jc w:val="right"/>
              <w:ind w:right="1432"/>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5"/>
        </w:trPr>
        <w:tc>
          <w:tcPr>
            <w:tcW w:w="5400" w:type="dxa"/>
            <w:vAlign w:val="bottom"/>
            <w:tcBorders>
              <w:bottom w:val="single" w:sz="8" w:color="9A9A9A"/>
            </w:tcBorders>
          </w:tcPr>
          <w:p>
            <w:pPr>
              <w:spacing w:after="0"/>
              <w:rPr>
                <w:sz w:val="21"/>
                <w:szCs w:val="21"/>
                <w:color w:val="auto"/>
              </w:rPr>
            </w:pPr>
          </w:p>
        </w:tc>
        <w:tc>
          <w:tcPr>
            <w:tcW w:w="202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6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16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6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5.75% notes due 2063 (5.75% 2063 Notes)</w:t>
            </w: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due 2097</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bond discounts, premiums and issuance costs, net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carrying value of debt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0" w:type="dxa"/>
            <w:vAlign w:val="bottom"/>
          </w:tcPr>
          <w:p>
            <w:pPr>
              <w:spacing w:after="0"/>
              <w:rPr>
                <w:sz w:val="1"/>
                <w:szCs w:val="1"/>
                <w:color w:val="auto"/>
              </w:rPr>
            </w:pP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42"/>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63,170</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There are no material differences between the effective interest rates and coupon rates of our notes except for the 4.563% 2048 Notes, the 4.663% 2051 Notes and the 2.77% 2053 Notes, which have effective interest rates of 6.3%, 5.6% and 5.2%, respectively.</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Term loans have an interest rate of three-month SOFR plus 1.225%.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repayments</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During the nine months ended September 30, 2024, we repaid the $2.0 billion aggregate principal amount on the Term loan due April 2025, $200 million aggregate principal amount of the Term loan due October 2026 and the $1.4 billion aggregate principal amount of the 3.625% 2024 Notes.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extinguishment</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2024, we repurchased an aggregate principal amount of our debt of $875 million, including portions of the 3.15% 2040 Notes, 2.80% 2041 Notes, 3.375% 2050 Notes, 3.00% 2052 Notes, 4.20% 2052 Notes and 4.40% 2062 Notes, for an aggregate cost of $659 million, which resulted in the recognition of a $215 million gain on extinguishment of debt recorded in Other income, net, in the Condensed Consolidated Statements of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contracts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12, Derivative instruments, for a discussion of interest rate swap contracts related to certain of our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During the nine months ended September 30, 2024 and 2023, we did not repurchase shares under our stock repurchase program. As of September 30, 2024, $7.0 billion of authorization remained available under our stock repurchase program.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August 2024, March 2024 and December 2023, our Board of Directors declared quarterly cash dividends of $2.25 per share, which were paid in September 2024, June 2024 and March 2024, respectively. In October 2024, our Board of Directors declared a quarterly cash dividend of $2.25 per share that will be paid in December 2024.</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AOCI were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hedges</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7"/>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7"/>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losses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2"/>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Reclassifications out of AOCI and into earnings, including related income tax expenses,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4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vMerge w:val="restart"/>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14"/>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AOCI</w:t>
            </w:r>
          </w:p>
        </w:tc>
        <w:tc>
          <w:tcPr>
            <w:tcW w:w="420" w:type="dxa"/>
            <w:vAlign w:val="bottom"/>
          </w:tcPr>
          <w:p>
            <w:pPr>
              <w:spacing w:after="0"/>
              <w:rPr>
                <w:sz w:val="9"/>
                <w:szCs w:val="9"/>
                <w:color w:val="auto"/>
              </w:rPr>
            </w:pPr>
          </w:p>
        </w:tc>
        <w:tc>
          <w:tcPr>
            <w:tcW w:w="1320" w:type="dxa"/>
            <w:vAlign w:val="bottom"/>
            <w:vMerge w:val="restart"/>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122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6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Income locations</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contract gains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0" w:type="dxa"/>
            <w:vAlign w:val="bottom"/>
          </w:tcPr>
          <w:p>
            <w:pPr>
              <w:spacing w:after="0"/>
              <w:rPr>
                <w:sz w:val="1"/>
                <w:szCs w:val="1"/>
                <w:color w:val="auto"/>
              </w:rPr>
            </w:pPr>
          </w:p>
        </w:tc>
      </w:tr>
      <w:tr>
        <w:trPr>
          <w:trHeight w:val="224"/>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 contract gains (losses)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32"/>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1038"/>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6"/>
                <w:szCs w:val="16"/>
                <w:color w:val="auto"/>
              </w:rPr>
            </w:pPr>
          </w:p>
        </w:tc>
        <w:tc>
          <w:tcPr>
            <w:tcW w:w="29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vMerge w:val="restart"/>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14"/>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AOCI</w:t>
            </w:r>
          </w:p>
        </w:tc>
        <w:tc>
          <w:tcPr>
            <w:tcW w:w="420" w:type="dxa"/>
            <w:vAlign w:val="bottom"/>
          </w:tcPr>
          <w:p>
            <w:pPr>
              <w:spacing w:after="0"/>
              <w:rPr>
                <w:sz w:val="9"/>
                <w:szCs w:val="9"/>
                <w:color w:val="auto"/>
              </w:rPr>
            </w:pPr>
          </w:p>
        </w:tc>
        <w:tc>
          <w:tcPr>
            <w:tcW w:w="1320" w:type="dxa"/>
            <w:vAlign w:val="bottom"/>
            <w:vMerge w:val="restart"/>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122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6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Income locations</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contract gains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0" w:type="dxa"/>
            <w:vAlign w:val="bottom"/>
          </w:tcPr>
          <w:p>
            <w:pPr>
              <w:spacing w:after="0"/>
              <w:rPr>
                <w:sz w:val="1"/>
                <w:szCs w:val="1"/>
                <w:color w:val="auto"/>
              </w:rPr>
            </w:pPr>
          </w:p>
        </w:tc>
      </w:tr>
      <w:tr>
        <w:trPr>
          <w:trHeight w:val="224"/>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 contract gains (losses)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2"/>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4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22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9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11. Fair value measurement</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To estimate the fair value of our financial assets and liabilities, we use valuation approaches within a hierarchy that maximize the use of observable inputs and minimize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 best information available in the circumstances. The fair value hierarchy is divided into three levels based on the sources of inputs as follows: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Level 1 — Valuations based on unadjusted quoted prices in active markets for identical assets or liabilities that the Company has the ability to access</w:t>
      </w:r>
    </w:p>
    <w:p>
      <w:pPr>
        <w:spacing w:after="0" w:line="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 — Valuations for which all significant inputs are observable either directly or indirectly—other than Level 1 inputs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224"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availability of observable inputs can vary among different types of financial assets and liabilities. To the extent that the valuation is based on models or inputs that are less observable or unobservable in the market, the determination of fair value requires more judgment. In certain cases,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122"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fair values of each major class of the Company’s financial assets and liabilities measured at fair value on a recurring basis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4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200" w:type="dxa"/>
            <w:vAlign w:val="bottom"/>
          </w:tcPr>
          <w:p>
            <w:pPr>
              <w:spacing w:after="0"/>
              <w:rPr>
                <w:sz w:val="11"/>
                <w:szCs w:val="11"/>
                <w:color w:val="auto"/>
              </w:rPr>
            </w:pPr>
          </w:p>
        </w:tc>
        <w:tc>
          <w:tcPr>
            <w:tcW w:w="146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240" w:type="dxa"/>
            <w:vAlign w:val="bottom"/>
          </w:tcPr>
          <w:p>
            <w:pPr>
              <w:spacing w:after="0"/>
              <w:rPr>
                <w:sz w:val="11"/>
                <w:szCs w:val="11"/>
                <w:color w:val="auto"/>
              </w:rPr>
            </w:pPr>
          </w:p>
        </w:tc>
        <w:tc>
          <w:tcPr>
            <w:tcW w:w="142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as of September 30, 2024, using:</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6"/>
              </w:rPr>
              <w:t>inputs</w:t>
            </w:r>
          </w:p>
        </w:tc>
        <w:tc>
          <w:tcPr>
            <w:tcW w:w="240" w:type="dxa"/>
            <w:vAlign w:val="bottom"/>
          </w:tcPr>
          <w:p>
            <w:pPr>
              <w:spacing w:after="0"/>
              <w:rPr>
                <w:sz w:val="12"/>
                <w:szCs w:val="12"/>
                <w:color w:val="auto"/>
              </w:rPr>
            </w:pPr>
          </w:p>
        </w:tc>
        <w:tc>
          <w:tcPr>
            <w:tcW w:w="14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00" w:type="dxa"/>
            <w:vAlign w:val="bottom"/>
          </w:tcPr>
          <w:p>
            <w:pPr>
              <w:spacing w:after="0"/>
              <w:rPr>
                <w:sz w:val="10"/>
                <w:szCs w:val="10"/>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0"/>
                <w:szCs w:val="10"/>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80" w:type="dxa"/>
            <w:vAlign w:val="bottom"/>
          </w:tcPr>
          <w:p>
            <w:pPr>
              <w:spacing w:after="0"/>
              <w:rPr>
                <w:sz w:val="10"/>
                <w:szCs w:val="10"/>
                <w:color w:val="auto"/>
              </w:rPr>
            </w:pPr>
          </w:p>
        </w:tc>
        <w:tc>
          <w:tcPr>
            <w:tcW w:w="11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4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6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4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4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200" w:type="dxa"/>
            <w:vAlign w:val="bottom"/>
          </w:tcPr>
          <w:p>
            <w:pPr>
              <w:spacing w:after="0"/>
              <w:rPr>
                <w:sz w:val="11"/>
                <w:szCs w:val="11"/>
                <w:color w:val="auto"/>
              </w:rPr>
            </w:pPr>
          </w:p>
        </w:tc>
        <w:tc>
          <w:tcPr>
            <w:tcW w:w="146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240" w:type="dxa"/>
            <w:vAlign w:val="bottom"/>
          </w:tcPr>
          <w:p>
            <w:pPr>
              <w:spacing w:after="0"/>
              <w:rPr>
                <w:sz w:val="11"/>
                <w:szCs w:val="11"/>
                <w:color w:val="auto"/>
              </w:rPr>
            </w:pPr>
          </w:p>
        </w:tc>
        <w:tc>
          <w:tcPr>
            <w:tcW w:w="142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2023, using:</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200" w:type="dxa"/>
            <w:vAlign w:val="bottom"/>
          </w:tcPr>
          <w:p>
            <w:pPr>
              <w:spacing w:after="0"/>
              <w:rPr>
                <w:sz w:val="12"/>
                <w:szCs w:val="12"/>
                <w:color w:val="auto"/>
              </w:rPr>
            </w:pPr>
          </w:p>
        </w:tc>
        <w:tc>
          <w:tcPr>
            <w:tcW w:w="14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00" w:type="dxa"/>
            <w:vAlign w:val="bottom"/>
          </w:tcPr>
          <w:p>
            <w:pPr>
              <w:spacing w:after="0"/>
              <w:rPr>
                <w:sz w:val="10"/>
                <w:szCs w:val="10"/>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0"/>
                <w:szCs w:val="10"/>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0"/>
                <w:szCs w:val="10"/>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4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Interest-bearing and equity securities</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fair values of our money market mutual funds and equity investments in publicly traded securities, including our equity investments in BeiGene and Neumora, as of September 30, 2024 and December 31, 2023, are based on quoted market prices in active markets, with no valuation adjustment.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5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All of our foreign currency forward contracts, cross-currency swap contracts and interest rate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as applicable, include foreign currency exchange rates, SOFR, swap rates, obligor credit default swap rates and cross-currency basis swap spreads. Certain inputs, when applicable, are at commonly quoted intervals. See Note 12, Derivative instruments.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obligations</w:t>
      </w:r>
    </w:p>
    <w:p>
      <w:pPr>
        <w:spacing w:after="0" w:line="138"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As a result of our business acquisitions, we have incurred contingent consideration obligations as discussed below. The contingent consideration obligations are recorded at their fair values by using probability-adjusted discounted cash flows, and we revalue these obligations each reporting period until the related contingencies have been resolved. The fair value measurements of these obligations are based on significant unobservable inputs related to licensing rights and product candidates acquired in business combinations, and they are reviewed quarterly by management in our R&amp;D and commercial sales organizations. The inputs include, as applicable, estimated probabilities and the timing of achieving specified development, regulatory and commercial milestones as well as estimated annual sales. Significant changes that increase or decrease the probabilities of achieving the related development, regulatory and commercial events or that shorten or lengthen the time required to achieve such events or that increase or decrease estimated annual sales would result in corresponding increases or decreases in the fair values of the obligations, as applicable. Changes in the fair values of contingent consideration obligations are recognized in Other operating expenses in the Condensed Consolidated Statements of Income.</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color w:val="auto"/>
        </w:rPr>
        <w:t>Changes in the carrying amounts of contingent consideration obligations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3"/>
                <w:szCs w:val="13"/>
                <w:color w:val="auto"/>
              </w:rPr>
            </w:pPr>
          </w:p>
        </w:tc>
      </w:tr>
      <w:tr>
        <w:trPr>
          <w:trHeight w:val="191"/>
        </w:trPr>
        <w:tc>
          <w:tcPr>
            <w:tcW w:w="4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r>
      <w:tr>
        <w:trPr>
          <w:trHeight w:val="190"/>
        </w:trPr>
        <w:tc>
          <w:tcPr>
            <w:tcW w:w="45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4"/>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changes in valuations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September 30, 2024 and December 31, 2023, our contingent consideration obligations are primarily the result of our acquisition of Teneobio, Inc. in October 2021, which obligates us to pay the former shareholders payments upon achieving separate development and regulatory milestones with regard to various R&amp;D programs.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fair values of other financial instruments</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cash equivalents are approximated at their carrying values due to the short-term nature of such financial instruments.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5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estimate the fair values of our fixed-rate notes by using Level 2 inputs. As of September 30, 2024 and December 31, 2023, the aggregate fair values of our fixed-rate notes were $58.0 billion and $59.2 billion, respectively, and the carrying values of this debt were $58.6 billion and $60.6 billion, respectively. The estimate of the fair values of our Term loans is approximated as the carrying values as of September 30, 2024 and December 31, 2023 as these debt instruments bear interest at floating rates.</w:t>
      </w:r>
    </w:p>
    <w:p>
      <w:pPr>
        <w:spacing w:after="0" w:line="116"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there were no transfers of assets or liabilities between fair value measurement levels, and there were no material remeasurements to the fair values of assets and liabilities that are not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have designated certain of our derivatives as cash flow and fair value hedges; we also have derivatives not designated as hedges. We do not use derivatives for speculative trading purposes.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51" w:lineRule="exact"/>
        <w:rPr>
          <w:sz w:val="20"/>
          <w:szCs w:val="20"/>
          <w:color w:val="auto"/>
        </w:rPr>
      </w:pPr>
    </w:p>
    <w:p>
      <w:pPr>
        <w:jc w:val="both"/>
        <w:ind w:firstLine="396"/>
        <w:spacing w:after="0" w:line="289" w:lineRule="auto"/>
        <w:rPr>
          <w:sz w:val="20"/>
          <w:szCs w:val="20"/>
          <w:color w:val="auto"/>
        </w:rPr>
      </w:pPr>
      <w:r>
        <w:rPr>
          <w:rFonts w:ascii="Times New Roman" w:cs="Times New Roman" w:eastAsia="Times New Roman" w:hAnsi="Times New Roman"/>
          <w:sz w:val="16"/>
          <w:szCs w:val="16"/>
          <w:color w:val="auto"/>
        </w:rPr>
        <w:t>We are exposed to possible changes in the values of certain anticipated foreign currency cash flows resulting from changes in foreign currency exchange rates primarily associated with our euro-denominated international product sales. The foreign currency exchange rate fluctuation exposure associated with cash inflows from our international product sales is partially offset by corresponding cash outflows from our international operating expenses. To further reduce our exposure,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spacing w:after="0" w:line="7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of September 30, 2024 and December 31, 2023, we had outstanding foreign currency forward contracts with aggregate notional amounts of $7.1 billion and $6.6 billion, respectively. We have designated these foreign currency forward contracts, which are primarily euro based, as cash flow hedges. Accordingly, we report the unrealized gains and losses on these contracts in AOCI in the Condensed Consolidated Balance Sheets, and we reclassify them to Product sales in the Condensed Consolidated Statements of Income in the same periods during which the hedged transactions affect earnings.</w:t>
      </w:r>
    </w:p>
    <w:p>
      <w:pPr>
        <w:spacing w:after="0" w:line="116"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To hedge our exposure to foreign currency exchange rate risk associated with certain of our long-term debt denominated in foreign currencies, we enter into cross-currency swap contracts. Under the terms of such contracts, we paid euros and pounds sterling and received U.S. dollars for the notional amounts at the inception of the contracts; and based on these notional amounts, we exchange interest payments at fixed rates over the terms of the contracts by paying U.S. dollars and receiving euros and pounds sterling. In addition, we will pay U.S. dollars to and receive euros and pounds sterling from the counterparties at the maturities of the contracts for these same notional amounts. The terms of these contracts correspond to the related hedged debt, thereby effectively converting the interest payments and principal repayment on the debt from euros and pounds sterling to U.S. dollars. We have designated these cross-currency swap contracts as cash flow hedges. Accordingly, the unrealized gains and losses on these contracts are reported in AOCI in the Condensed Consolidated Balance Sheets and reclassified to Other income, net, in the Condensed Consolidated Statements of Income in the same periods during which the hedged debt affects earnings.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notional amounts and interest rates of our cross-currency swaps as of September 30, 2024, were as follows (notional amounts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notes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12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Interest rates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0" w:type="dxa"/>
            <w:vAlign w:val="bottom"/>
          </w:tcPr>
          <w:p>
            <w:pPr>
              <w:spacing w:after="0"/>
              <w:rPr>
                <w:sz w:val="1"/>
                <w:szCs w:val="1"/>
                <w:color w:val="auto"/>
              </w:rPr>
            </w:pPr>
          </w:p>
        </w:tc>
      </w:tr>
      <w:tr>
        <w:trPr>
          <w:trHeight w:val="224"/>
        </w:trPr>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2.00%</w:t>
            </w:r>
          </w:p>
        </w:tc>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euro Notes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5.50%</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pound sterling Notes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4.00%</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pound sterling Notes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w:t>
      </w:r>
      <w:r>
        <w:rPr>
          <w:rFonts w:ascii="Times New Roman" w:cs="Times New Roman" w:eastAsia="Times New Roman" w:hAnsi="Times New Roman"/>
          <w:sz w:val="18"/>
          <w:szCs w:val="18"/>
          <w:color w:val="231F20"/>
        </w:rPr>
        <w:t>ins and losses on forward interest rate contracts, which are designated as cash flow hedges, are recognized in AOCI i</w:t>
      </w:r>
      <w:r>
        <w:rPr>
          <w:rFonts w:ascii="Times New Roman" w:cs="Times New Roman" w:eastAsia="Times New Roman" w:hAnsi="Times New Roman"/>
          <w:sz w:val="18"/>
          <w:szCs w:val="18"/>
          <w:color w:val="auto"/>
        </w:rPr>
        <w:t xml:space="preserve">n the Condensed Consolidated Balance Sheets </w:t>
      </w:r>
      <w:r>
        <w:rPr>
          <w:rFonts w:ascii="Times New Roman" w:cs="Times New Roman" w:eastAsia="Times New Roman" w:hAnsi="Times New Roman"/>
          <w:sz w:val="18"/>
          <w:szCs w:val="18"/>
          <w:color w:val="231F20"/>
        </w:rPr>
        <w:t>and are amortized into Interest expense, net, in the Condensed Consolidated Statements of Income over the terms of the associated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issuances. Amounts recognized in connection with forward interest rate contracts during the nine months ended September 30, 2024, and amounts expected to be recognized during the subsequent 12 months are not material.</w:t>
      </w:r>
    </w:p>
    <w:p>
      <w:pPr>
        <w:spacing w:after="0" w:line="200" w:lineRule="exact"/>
        <w:rPr>
          <w:sz w:val="20"/>
          <w:szCs w:val="20"/>
          <w:color w:val="auto"/>
        </w:rPr>
      </w:pPr>
    </w:p>
    <w:p>
      <w:pPr>
        <w:spacing w:after="0" w:line="31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color w:val="auto"/>
        </w:rPr>
        <w:t>Unrealized gains and losses recognized in AOCI for our derivative instruments designated as cash flow hedges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2"/>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222</w:t>
            </w:r>
          </w:p>
        </w:tc>
      </w:tr>
      <w:tr>
        <w:trPr>
          <w:trHeight w:val="22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(36)</w:t>
            </w:r>
          </w:p>
        </w:tc>
      </w:tr>
      <w:tr>
        <w:trPr>
          <w:trHeight w:val="22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7"/>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unrealized (losses) gains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3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To achieve a desired mix of fixed-rate and floating-rate debt, we entered into interest rate swap contracts that qualified for and were designated as fair value hedges. These interest rate swap contracts effectively convert fixed-rate coupons to floating-rate coupons over the terms of the related hedge contracts. As of both September 30, 2024 and December 31, 2023, we had interest rate swap contracts with aggregate notional amounts of $6.7 billion, that hedge certain portions of our long-term debt issuances. During the nine months ended September 30, 2024, interest rate swaps with an aggregate notional amount of $1.4 billion matured in connection with the repayment of the 3.625% 2024 Notes. In addition, we entered into new interest rate swaps with respect to the 5.25% 2033 Notes for an aggregate notional amount of $1.4 billion at an interest rate of SOFR plus 1.8%.</w:t>
      </w:r>
    </w:p>
    <w:p>
      <w:pPr>
        <w:spacing w:after="0" w:line="12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For interest rate swap contracts that qualify for and are designated as fair value hedges, we recognize in Interest expense, net, in the Condensed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term of the previously hedged debt.</w:t>
      </w:r>
    </w:p>
    <w:p>
      <w:pPr>
        <w:spacing w:after="0" w:line="122"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hedged liabilities and related cumulative-basis adjustments for fair value hedges of those liabilities were recorded in the Condensed Consolidated Balance Sheets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amounts of fair value hedging adjustments</w:t>
            </w:r>
          </w:p>
        </w:tc>
        <w:tc>
          <w:tcPr>
            <w:tcW w:w="0" w:type="dxa"/>
            <w:vAlign w:val="bottom"/>
          </w:tcPr>
          <w:p>
            <w:pPr>
              <w:spacing w:after="0"/>
              <w:rPr>
                <w:sz w:val="1"/>
                <w:szCs w:val="1"/>
                <w:color w:val="auto"/>
              </w:rPr>
            </w:pPr>
          </w:p>
        </w:tc>
      </w:tr>
      <w:tr>
        <w:trPr>
          <w:trHeight w:val="143"/>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Carrying amounts of hedged liabilities</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2"/>
                <w:szCs w:val="12"/>
                <w:color w:val="auto"/>
              </w:rPr>
            </w:pPr>
          </w:p>
        </w:tc>
        <w:tc>
          <w:tcPr>
            <w:tcW w:w="3200" w:type="dxa"/>
            <w:vAlign w:val="bottom"/>
            <w:gridSpan w:val="4"/>
          </w:tcPr>
          <w:p>
            <w:pPr>
              <w:jc w:val="center"/>
              <w:ind w:right="98"/>
              <w:spacing w:after="0" w:line="143" w:lineRule="exact"/>
              <w:rPr>
                <w:sz w:val="20"/>
                <w:szCs w:val="20"/>
                <w:color w:val="auto"/>
              </w:rPr>
            </w:pPr>
            <w:r>
              <w:rPr>
                <w:rFonts w:ascii="Times New Roman" w:cs="Times New Roman" w:eastAsia="Times New Roman" w:hAnsi="Times New Roman"/>
                <w:sz w:val="14"/>
                <w:szCs w:val="14"/>
                <w:b w:val="1"/>
                <w:bCs w:val="1"/>
                <w:color w:val="auto"/>
              </w:rPr>
              <w:t>related to the carrying amounts of the hedged</w:t>
            </w: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gridSpan w:val="4"/>
          </w:tcPr>
          <w:p>
            <w:pPr>
              <w:jc w:val="center"/>
              <w:ind w:right="98"/>
              <w:spacing w:after="0" w:line="198" w:lineRule="exact"/>
              <w:rPr>
                <w:sz w:val="20"/>
                <w:szCs w:val="20"/>
                <w:color w:val="auto"/>
              </w:rPr>
            </w:pPr>
            <w:r>
              <w:rPr>
                <w:rFonts w:ascii="Times New Roman" w:cs="Times New Roman" w:eastAsia="Times New Roman" w:hAnsi="Times New Roman"/>
                <w:sz w:val="14"/>
                <w:szCs w:val="14"/>
                <w:b w:val="1"/>
                <w:bCs w:val="1"/>
                <w:color w:val="auto"/>
                <w:w w:val="96"/>
              </w:rPr>
              <w:t>liabilities</w:t>
            </w:r>
            <w:r>
              <w:rPr>
                <w:rFonts w:ascii="Times New Roman" w:cs="Times New Roman" w:eastAsia="Times New Roman" w:hAnsi="Times New Roman"/>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18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locations</w:t>
            </w: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57" w:lineRule="exact"/>
        <w:rPr>
          <w:sz w:val="20"/>
          <w:szCs w:val="20"/>
          <w:color w:val="auto"/>
        </w:rPr>
      </w:pPr>
    </w:p>
    <w:p>
      <w:pPr>
        <w:ind w:left="240" w:hanging="234"/>
        <w:spacing w:after="0" w:line="231" w:lineRule="auto"/>
        <w:tabs>
          <w:tab w:leader="none" w:pos="293"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Current portion of long-term debt includes $58 million and $69 million of carrying value with discontinued hedging relationships as of September 30, 2024 and December 31, 2023, respectively. Long-term debt includes $245 million and $288 million of carrying value with discontinued hedging relationships as of September 30, 2024 and December 31, 2023, respectively.</w:t>
      </w:r>
    </w:p>
    <w:p>
      <w:pPr>
        <w:spacing w:after="0" w:line="120" w:lineRule="exact"/>
        <w:rPr>
          <w:rFonts w:ascii="Times New Roman" w:cs="Times New Roman" w:eastAsia="Times New Roman" w:hAnsi="Times New Roman"/>
          <w:sz w:val="18"/>
          <w:szCs w:val="18"/>
          <w:color w:val="auto"/>
          <w:vertAlign w:val="superscript"/>
        </w:rPr>
      </w:pPr>
    </w:p>
    <w:p>
      <w:pPr>
        <w:jc w:val="both"/>
        <w:ind w:left="240" w:hanging="234"/>
        <w:spacing w:after="0"/>
        <w:tabs>
          <w:tab w:leader="none" w:pos="327"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Current portion of long-term debt includes $58 million and $69 million of hedging adjustments on discontinued hedging relationships as of September 30, 2024 and December 31, 2023, respectively. Long-term debt includes $145 million and $188 million of hedging adjustments on discontinued hedging relationships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Impact of hedging transactions</w:t>
      </w:r>
    </w:p>
    <w:p>
      <w:pPr>
        <w:spacing w:after="0" w:line="138"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following tables summarize the amounts recorded in income and expense line items and the effects thereon from fair value and cash flow hedging, including discontinued hedging relationships (in millions):</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6"/>
          <w:szCs w:val="16"/>
          <w:color w:val="auto"/>
        </w:rPr>
        <w:t>Total amounts recorded in income and (expense) line items presented in the Condensed Consolidated Statements of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effects of cash flow and fair value hedging:</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Gains on cash flow hedging relationships reclassified out of</w:t>
      </w:r>
    </w:p>
    <w:p>
      <w:pPr>
        <w:ind w:left="140"/>
        <w:spacing w:after="0"/>
        <w:rPr>
          <w:sz w:val="20"/>
          <w:szCs w:val="20"/>
          <w:color w:val="auto"/>
        </w:rPr>
      </w:pPr>
      <w:r>
        <w:rPr>
          <w:rFonts w:ascii="Times New Roman" w:cs="Times New Roman" w:eastAsia="Times New Roman" w:hAnsi="Times New Roman"/>
          <w:sz w:val="18"/>
          <w:szCs w:val="18"/>
          <w:color w:val="auto"/>
        </w:rPr>
        <w:t>AOCI:</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306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60" w:type="dxa"/>
            <w:vAlign w:val="bottom"/>
          </w:tcPr>
          <w:p>
            <w:pPr>
              <w:spacing w:after="0"/>
              <w:rPr>
                <w:sz w:val="16"/>
                <w:szCs w:val="16"/>
                <w:color w:val="auto"/>
              </w:rPr>
            </w:pPr>
          </w:p>
        </w:tc>
        <w:tc>
          <w:tcPr>
            <w:tcW w:w="30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08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1080" w:type="dxa"/>
            <w:vAlign w:val="bottom"/>
            <w:tcBorders>
              <w:top w:val="single" w:sz="8" w:color="auto"/>
            </w:tcBorders>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
              <w:spacing w:after="0" w:line="127"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1"/>
                <w:szCs w:val="11"/>
                <w:color w:val="auto"/>
              </w:rPr>
            </w:pPr>
          </w:p>
        </w:tc>
        <w:tc>
          <w:tcPr>
            <w:tcW w:w="108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1140" w:type="dxa"/>
            <w:vAlign w:val="bottom"/>
            <w:tcBorders>
              <w:top w:val="single" w:sz="8" w:color="auto"/>
            </w:tcBorders>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1040" w:type="dxa"/>
            <w:vAlign w:val="bottom"/>
            <w:tcBorders>
              <w:top w:val="single" w:sz="8" w:color="auto"/>
            </w:tcBorders>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Interest expense,</w:t>
            </w:r>
          </w:p>
        </w:tc>
        <w:tc>
          <w:tcPr>
            <w:tcW w:w="0" w:type="dxa"/>
            <w:vAlign w:val="bottom"/>
          </w:tcPr>
          <w:p>
            <w:pPr>
              <w:spacing w:after="0"/>
              <w:rPr>
                <w:sz w:val="1"/>
                <w:szCs w:val="1"/>
                <w:color w:val="auto"/>
              </w:rPr>
            </w:pPr>
          </w:p>
        </w:tc>
      </w:tr>
      <w:tr>
        <w:trPr>
          <w:trHeight w:val="191"/>
        </w:trPr>
        <w:tc>
          <w:tcPr>
            <w:tcW w:w="10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0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6"/>
                <w:szCs w:val="16"/>
                <w:color w:val="auto"/>
              </w:rPr>
            </w:pPr>
          </w:p>
        </w:tc>
        <w:tc>
          <w:tcPr>
            <w:tcW w:w="7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93"/>
        </w:trPr>
        <w:tc>
          <w:tcPr>
            <w:tcW w:w="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23,310</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-258445</wp:posOffset>
            </wp:positionV>
            <wp:extent cx="7135495" cy="259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25971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142875</wp:posOffset>
            </wp:positionV>
            <wp:extent cx="7135495" cy="259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259715"/>
                    </a:xfrm>
                    <a:prstGeom prst="rect">
                      <a:avLst/>
                    </a:prstGeom>
                    <a:noFill/>
                  </pic:spPr>
                </pic:pic>
              </a:graphicData>
            </a:graphic>
          </wp:anchor>
        </w:drawing>
      </w:r>
    </w:p>
    <w:p>
      <w:pPr>
        <w:spacing w:after="0" w:line="628" w:lineRule="exact"/>
        <w:rPr>
          <w:sz w:val="20"/>
          <w:szCs w:val="20"/>
          <w:color w:val="auto"/>
        </w:rPr>
      </w:pPr>
    </w:p>
    <w:p>
      <w:pPr>
        <w:sectPr>
          <w:pgSz w:w="11900" w:h="16838" w:orient="portrait"/>
          <w:cols w:equalWidth="0" w:num="2">
            <w:col w:w="4500" w:space="180"/>
            <w:col w:w="6560"/>
          </w:cols>
          <w:pgMar w:left="320" w:top="1016"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(Losses) gains on fair value hedging relationships—interest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swap agreements: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Hedged items</w:t>
            </w:r>
            <w:r>
              <w:rPr>
                <w:rFonts w:ascii="Times New Roman" w:cs="Times New Roman" w:eastAsia="Times New Roman" w:hAnsi="Times New Roman"/>
                <w:sz w:val="22"/>
                <w:szCs w:val="22"/>
                <w:color w:val="auto"/>
                <w:vertAlign w:val="superscript"/>
              </w:rPr>
              <w:t>(1)</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526"/>
        </w:trPr>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7"/>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7"/>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120" w:type="dxa"/>
            <w:vAlign w:val="bottom"/>
          </w:tcPr>
          <w:p>
            <w:pPr>
              <w:spacing w:after="0"/>
              <w:rPr>
                <w:sz w:val="10"/>
                <w:szCs w:val="10"/>
                <w:color w:val="auto"/>
              </w:rPr>
            </w:pP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195"/>
              <w:spacing w:after="0" w:line="12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Product sales</w:t>
            </w: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Other income,</w:t>
            </w:r>
          </w:p>
        </w:tc>
        <w:tc>
          <w:tcPr>
            <w:tcW w:w="10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Interest expense,</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6"/>
                <w:szCs w:val="16"/>
                <w:color w:val="auto"/>
              </w:rPr>
            </w:pPr>
          </w:p>
        </w:tc>
        <w:tc>
          <w:tcPr>
            <w:tcW w:w="7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58"/>
        </w:trPr>
        <w:tc>
          <w:tcPr>
            <w:tcW w:w="46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Total amounts recorded in income and (expense) line items</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presented in the Condensed Consolidated Statements of Income</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2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effects of cash flow and fair value hedging: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Gains (losses) on cash flow hedging relationships reclassified</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 of AOCI:</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Gains (losses) on fair value hedging relationships—interest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swap agreements: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Hedged items</w:t>
            </w:r>
            <w:r>
              <w:rPr>
                <w:rFonts w:ascii="Times New Roman" w:cs="Times New Roman" w:eastAsia="Times New Roman" w:hAnsi="Times New Roman"/>
                <w:sz w:val="22"/>
                <w:szCs w:val="22"/>
                <w:color w:val="auto"/>
                <w:vertAlign w:val="superscript"/>
              </w:rPr>
              <w:t>(1)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w:t>
      </w:r>
    </w:p>
    <w:p>
      <w:pPr>
        <w:spacing w:after="0" w:line="57" w:lineRule="exact"/>
        <w:rPr>
          <w:sz w:val="20"/>
          <w:szCs w:val="20"/>
          <w:color w:val="auto"/>
        </w:rPr>
      </w:pPr>
    </w:p>
    <w:p>
      <w:pPr>
        <w:jc w:val="both"/>
        <w:ind w:left="240" w:hanging="234"/>
        <w:spacing w:after="0" w:line="272" w:lineRule="auto"/>
        <w:tabs>
          <w:tab w:leader="none" w:pos="258"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Gains (losses) on hedged items do not exactly offset losses (gains)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w:t>
      </w:r>
    </w:p>
    <w:p>
      <w:pPr>
        <w:spacing w:after="0" w:line="10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 xml:space="preserve">No portions of our cash flow hedge contracts were excluded from the assessment of hedge effectiveness. As of September 30, 2024, amounts </w:t>
      </w:r>
      <w:r>
        <w:rPr>
          <w:rFonts w:ascii="Times New Roman" w:cs="Times New Roman" w:eastAsia="Times New Roman" w:hAnsi="Times New Roman"/>
          <w:sz w:val="18"/>
          <w:szCs w:val="18"/>
          <w:color w:val="231F20"/>
        </w:rPr>
        <w:t>expected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be recognized into earnings during the subsequent 12 months on </w:t>
      </w:r>
      <w:r>
        <w:rPr>
          <w:rFonts w:ascii="Times New Roman" w:cs="Times New Roman" w:eastAsia="Times New Roman" w:hAnsi="Times New Roman"/>
          <w:sz w:val="18"/>
          <w:szCs w:val="18"/>
          <w:color w:val="000000"/>
        </w:rPr>
        <w:t>our foreign currency and cross-currency swap contracts are not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hedges</w:t>
      </w:r>
    </w:p>
    <w:p>
      <w:pPr>
        <w:spacing w:after="0" w:line="15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September 30, 2024 and December 31, 2023, the total notional amounts of these foreign currency forward contracts were $82 million and $457 million, respectively. Gains and losses recognized in earnings for our derivative instruments not designated as hedging instruments were not material for the three and nine months ended September 30, 2024 and 2023.</w:t>
      </w:r>
    </w:p>
    <w:p>
      <w:pPr>
        <w:spacing w:after="0" w:line="200" w:lineRule="exact"/>
        <w:rPr>
          <w:sz w:val="20"/>
          <w:szCs w:val="20"/>
          <w:color w:val="auto"/>
        </w:rPr>
      </w:pPr>
    </w:p>
    <w:p>
      <w:pPr>
        <w:spacing w:after="0" w:line="31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Fair values of derivatives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derivatives included in the Condensed Consolidated Balance Sheets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60" w:type="dxa"/>
            <w:vAlign w:val="bottom"/>
            <w:gridSpan w:val="2"/>
          </w:tcPr>
          <w:p>
            <w:pPr>
              <w:ind w:left="320"/>
              <w:spacing w:after="0" w:line="127"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2400" w:type="dxa"/>
            <w:vAlign w:val="bottom"/>
            <w:gridSpan w:val="3"/>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0" w:type="dxa"/>
            <w:vAlign w:val="bottom"/>
          </w:tcPr>
          <w:p>
            <w:pPr>
              <w:spacing w:after="0"/>
              <w:rPr>
                <w:sz w:val="1"/>
                <w:szCs w:val="1"/>
                <w:color w:val="auto"/>
              </w:rPr>
            </w:pPr>
          </w:p>
        </w:tc>
      </w:tr>
      <w:tr>
        <w:trPr>
          <w:trHeight w:val="191"/>
        </w:trPr>
        <w:tc>
          <w:tcPr>
            <w:tcW w:w="4380" w:type="dxa"/>
            <w:vAlign w:val="bottom"/>
            <w:gridSpan w:val="2"/>
            <w:vMerge w:val="continue"/>
          </w:tcPr>
          <w:p>
            <w:pPr>
              <w:spacing w:after="0"/>
              <w:rPr>
                <w:sz w:val="16"/>
                <w:szCs w:val="16"/>
                <w:color w:val="auto"/>
              </w:rPr>
            </w:pP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Sheets locations</w:t>
            </w:r>
          </w:p>
        </w:tc>
        <w:tc>
          <w:tcPr>
            <w:tcW w:w="1220" w:type="dxa"/>
            <w:vAlign w:val="bottom"/>
            <w:gridSpan w:val="2"/>
            <w:vMerge w:val="continue"/>
          </w:tcPr>
          <w:p>
            <w:pPr>
              <w:spacing w:after="0"/>
              <w:rPr>
                <w:sz w:val="16"/>
                <w:szCs w:val="16"/>
                <w:color w:val="auto"/>
              </w:rPr>
            </w:pPr>
          </w:p>
        </w:tc>
        <w:tc>
          <w:tcPr>
            <w:tcW w:w="24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Sheets locations</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16" w:right="339" w:bottom="1440" w:gutter="0" w:footer="0" w:header="0"/>
        </w:sectPr>
      </w:pP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Cross-currency swap contracts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 derivatives designated as hedging instruments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Other current assets/ Other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77"/>
        </w:trPr>
        <w:tc>
          <w:tcPr>
            <w:tcW w:w="22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current assets/ Other</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77"/>
        </w:trPr>
        <w:tc>
          <w:tcPr>
            <w:tcW w:w="22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current assets/ Other</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260" w:type="dxa"/>
            <w:vAlign w:val="bottom"/>
            <w:gridSpan w:val="2"/>
          </w:tcPr>
          <w:p>
            <w:pPr>
              <w:ind w:left="320"/>
              <w:spacing w:after="0" w:line="125"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60" w:type="dxa"/>
            <w:vAlign w:val="bottom"/>
          </w:tcPr>
          <w:p>
            <w:pPr>
              <w:spacing w:after="0"/>
              <w:rPr>
                <w:sz w:val="10"/>
                <w:szCs w:val="10"/>
                <w:color w:val="auto"/>
              </w:rPr>
            </w:pPr>
          </w:p>
        </w:tc>
        <w:tc>
          <w:tcPr>
            <w:tcW w:w="9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120" w:type="dxa"/>
            <w:vAlign w:val="bottom"/>
          </w:tcPr>
          <w:p>
            <w:pPr>
              <w:spacing w:after="0"/>
              <w:rPr>
                <w:sz w:val="10"/>
                <w:szCs w:val="10"/>
                <w:color w:val="auto"/>
              </w:rPr>
            </w:pPr>
          </w:p>
        </w:tc>
        <w:tc>
          <w:tcPr>
            <w:tcW w:w="2440" w:type="dxa"/>
            <w:vAlign w:val="bottom"/>
            <w:gridSpan w:val="3"/>
          </w:tcPr>
          <w:p>
            <w:pPr>
              <w:ind w:left="340"/>
              <w:spacing w:after="0" w:line="125"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9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Sheets locations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Sheets locations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-1431290</wp:posOffset>
            </wp:positionV>
            <wp:extent cx="7135495" cy="259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259715"/>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-912495</wp:posOffset>
            </wp:positionV>
            <wp:extent cx="7135495" cy="150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-7620</wp:posOffset>
            </wp:positionV>
            <wp:extent cx="7135495" cy="133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780" w:space="600"/>
            <w:col w:w="6860"/>
          </w:cols>
          <w:pgMar w:left="320" w:top="101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Accrued liabilities/ Other</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noncurrent assets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noncurrent liabilities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172"/>
        </w:trPr>
        <w:tc>
          <w:tcPr>
            <w:tcW w:w="4080" w:type="dxa"/>
            <w:vAlign w:val="bottom"/>
            <w:shd w:val="clear" w:color="auto" w:fill="CCEEFF"/>
          </w:tcPr>
          <w:p>
            <w:pPr>
              <w:spacing w:after="0"/>
              <w:rPr>
                <w:sz w:val="14"/>
                <w:szCs w:val="14"/>
                <w:color w:val="auto"/>
              </w:rPr>
            </w:pPr>
          </w:p>
        </w:tc>
        <w:tc>
          <w:tcPr>
            <w:tcW w:w="2560" w:type="dxa"/>
            <w:vAlign w:val="bottom"/>
            <w:shd w:val="clear" w:color="auto" w:fill="CCEEFF"/>
          </w:tcPr>
          <w:p>
            <w:pPr>
              <w:ind w:left="300"/>
              <w:spacing w:after="0" w:line="172" w:lineRule="exact"/>
              <w:rPr>
                <w:sz w:val="20"/>
                <w:szCs w:val="20"/>
                <w:color w:val="auto"/>
              </w:rPr>
            </w:pPr>
            <w:r>
              <w:rPr>
                <w:rFonts w:ascii="Times New Roman" w:cs="Times New Roman" w:eastAsia="Times New Roman" w:hAnsi="Times New Roman"/>
                <w:sz w:val="18"/>
                <w:szCs w:val="18"/>
                <w:color w:val="auto"/>
              </w:rPr>
              <w:t>Other current assets/ Other</w:t>
            </w: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0" w:type="dxa"/>
            <w:vAlign w:val="bottom"/>
            <w:shd w:val="clear" w:color="auto" w:fill="CCEEFF"/>
          </w:tcPr>
          <w:p>
            <w:pPr>
              <w:jc w:val="center"/>
              <w:ind w:right="252"/>
              <w:spacing w:after="0" w:line="172" w:lineRule="exact"/>
              <w:rPr>
                <w:sz w:val="20"/>
                <w:szCs w:val="20"/>
                <w:color w:val="auto"/>
              </w:rPr>
            </w:pPr>
            <w:r>
              <w:rPr>
                <w:rFonts w:ascii="Times New Roman" w:cs="Times New Roman" w:eastAsia="Times New Roman" w:hAnsi="Times New Roman"/>
                <w:sz w:val="18"/>
                <w:szCs w:val="18"/>
                <w:color w:val="auto"/>
                <w:w w:val="97"/>
              </w:rPr>
              <w:t>Accrued liabilities/ Other</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noncurrent assets</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center"/>
              <w:ind w:right="292"/>
              <w:spacing w:after="0"/>
              <w:rPr>
                <w:sz w:val="20"/>
                <w:szCs w:val="20"/>
                <w:color w:val="auto"/>
              </w:rPr>
            </w:pPr>
            <w:r>
              <w:rPr>
                <w:rFonts w:ascii="Times New Roman" w:cs="Times New Roman" w:eastAsia="Times New Roman" w:hAnsi="Times New Roman"/>
                <w:sz w:val="18"/>
                <w:szCs w:val="18"/>
                <w:color w:val="auto"/>
                <w:w w:val="97"/>
              </w:rPr>
              <w:t>noncurrent liabilities</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171"/>
        </w:trPr>
        <w:tc>
          <w:tcPr>
            <w:tcW w:w="4080" w:type="dxa"/>
            <w:vAlign w:val="bottom"/>
          </w:tcPr>
          <w:p>
            <w:pPr>
              <w:spacing w:after="0"/>
              <w:rPr>
                <w:sz w:val="14"/>
                <w:szCs w:val="14"/>
                <w:color w:val="auto"/>
              </w:rPr>
            </w:pPr>
          </w:p>
        </w:tc>
        <w:tc>
          <w:tcPr>
            <w:tcW w:w="2560" w:type="dxa"/>
            <w:vAlign w:val="bottom"/>
          </w:tcPr>
          <w:p>
            <w:pPr>
              <w:ind w:left="300"/>
              <w:spacing w:after="0" w:line="171" w:lineRule="exact"/>
              <w:rPr>
                <w:sz w:val="20"/>
                <w:szCs w:val="20"/>
                <w:color w:val="auto"/>
              </w:rPr>
            </w:pPr>
            <w:r>
              <w:rPr>
                <w:rFonts w:ascii="Times New Roman" w:cs="Times New Roman" w:eastAsia="Times New Roman" w:hAnsi="Times New Roman"/>
                <w:sz w:val="18"/>
                <w:szCs w:val="18"/>
                <w:color w:val="auto"/>
              </w:rPr>
              <w:t>Other current assets/ Other</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tcPr>
          <w:p>
            <w:pPr>
              <w:jc w:val="center"/>
              <w:ind w:right="252"/>
              <w:spacing w:after="0" w:line="171" w:lineRule="exact"/>
              <w:rPr>
                <w:sz w:val="20"/>
                <w:szCs w:val="20"/>
                <w:color w:val="auto"/>
              </w:rPr>
            </w:pPr>
            <w:r>
              <w:rPr>
                <w:rFonts w:ascii="Times New Roman" w:cs="Times New Roman" w:eastAsia="Times New Roman" w:hAnsi="Times New Roman"/>
                <w:sz w:val="18"/>
                <w:szCs w:val="18"/>
                <w:color w:val="auto"/>
                <w:w w:val="97"/>
              </w:rPr>
              <w:t>Accrued liabilities/ Other</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noncurrent assets</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tcPr>
          <w:p>
            <w:pPr>
              <w:jc w:val="center"/>
              <w:ind w:right="292"/>
              <w:spacing w:after="0"/>
              <w:rPr>
                <w:sz w:val="20"/>
                <w:szCs w:val="20"/>
                <w:color w:val="auto"/>
              </w:rPr>
            </w:pPr>
            <w:r>
              <w:rPr>
                <w:rFonts w:ascii="Times New Roman" w:cs="Times New Roman" w:eastAsia="Times New Roman" w:hAnsi="Times New Roman"/>
                <w:sz w:val="18"/>
                <w:szCs w:val="18"/>
                <w:color w:val="auto"/>
                <w:w w:val="97"/>
              </w:rPr>
              <w:t>noncurrent liabilities</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8"/>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17"/>
        </w:trPr>
        <w:tc>
          <w:tcPr>
            <w:tcW w:w="4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derivatives</w:t>
            </w:r>
          </w:p>
        </w:tc>
        <w:tc>
          <w:tcPr>
            <w:tcW w:w="256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0"/>
        </w:trPr>
        <w:tc>
          <w:tcPr>
            <w:tcW w:w="4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additional information, see Note 11, Fair value measurement.</w:t>
      </w:r>
    </w:p>
    <w:p>
      <w:pPr>
        <w:spacing w:after="0" w:line="149"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derivative contracts that were in liability positions as of September 30, 2024, contain certain credit-risk-related contingent provisions that would be triggered if (i) we were to undergo a change-in-control and (ii) our or the surviving entity’s creditworthiness deteriorates, which is generally defined as having either a credit rating that is below investment grade or a materially weaker creditworthiness after the change-in-control.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spacing w:after="0" w:line="11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cash flow effects of our derivative contracts in the Condensed Consolidated Statements of Cash Flows are included in Net cash provided by operating activities, except for the settlement of notional amounts of cross-currency swaps, which are included in Net cash (used in) provided by financing activities.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13. Contingencies and commitments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5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legal proceedings, government investigations and other matters that are complex in nature and have outcomes that are difficult to predict. See our Annual Report on Form 10-K for the year ended December 31, 2023, Part I, Item 1A. Risk Factors— </w:t>
      </w:r>
      <w:r>
        <w:rPr>
          <w:rFonts w:ascii="Times New Roman" w:cs="Times New Roman" w:eastAsia="Times New Roman" w:hAnsi="Times New Roman"/>
          <w:sz w:val="18"/>
          <w:szCs w:val="18"/>
          <w:i w:val="1"/>
          <w:iCs w:val="1"/>
          <w:color w:val="auto"/>
        </w:rPr>
        <w:t xml:space="preserve">Our business may be affected by litigation and government investigations. </w:t>
      </w:r>
      <w:r>
        <w:rPr>
          <w:rFonts w:ascii="Times New Roman" w:cs="Times New Roman" w:eastAsia="Times New Roman" w:hAnsi="Times New Roman"/>
          <w:sz w:val="18"/>
          <w:szCs w:val="18"/>
          <w:color w:val="auto"/>
        </w:rPr>
        <w:t>We describe our legal proceedings and other matters that are significant or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could become significant in this footnote; in Note 20, Contingencies and commitments, to the consolidated financial statements in our Annual Report on Form 10-K for the year ended December 31, 2023; and in Note 13, Contingencies and commitments, to the condensed consolidated financial statements in our Quarterly Reports on Form 10-Q for the periods ended March 31, 2024 and June 30, 2024.</w:t>
      </w:r>
    </w:p>
    <w:p>
      <w:pPr>
        <w:spacing w:after="0" w:line="12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0"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8"/>
          <w:szCs w:val="18"/>
          <w:color w:val="auto"/>
        </w:rPr>
        <w:t>Our legal proceedings involve various aspects of our business and a variety of claims, some of which present novel factual allegations and/or unique legal theories. In each of the matters described in this filing; in Note 20, Contingencies and commitments, to the consolidated financial statements in our Annual Report on Form 10-K for the year ended December 31, 2023; and in Note 13, Contingencies and commitments, to the condensed consolidated financial statements in our Quarterly Reports on Form 10-Q for the periods ended March 31, 2024 and June 30, 2024, in which we could incur a liability, our opponents seek an award of a not-yet-quantified amount of damages or an amount that is not material. In addition, a number of the matters pending against us are at very early stages of the legal process, which in complex proceedings of the sort we face often extend for several years. As a result, none of the matters described in this filing; in Note 20, Contingencies and commitments, to the consolidated financial statements in our Annual Report on Form 10-K for the year ended December 31, 2023; and in Note 13, Contingencies and commitments, to the condensed consolidated financial statements in our Quarterly Reports on Form 10-Q for the periods ended March 31, 2024 and June 30, 2024, in which we could incur a liability, have progressed sufficiently through discovery and/or the development of important factual information and legal issues to enable us to estimate a range of possible loss, if any, or such amounts are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Certain recent developments concerning our legal proceedings and other matters are discussed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Repatha Patent Litigation</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Patent Disputes in the International Region</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151"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On October 17, 2024 in Sanofi-Aventis Deutschland GmbH (Sanofi-Aventis) and Regeneron Pharmaceuticals, Inc.’s (Regeneron) actions seeking damages arising from the provisional enforcement of an injunction against 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Munich Regional Court scheduled a hearing for February 26, 2025.</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Unified Patent Court of the European Union</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Amgen filed a Statement of Appeal on September 13, 2024, asking the Court of Appeals to the Unified Patent Court (UPC) to set aside the decision of the UPC Central Division revoking Amgen’s European Patent No. 3,666,797 (EP ‘797).</w:t>
      </w:r>
    </w:p>
    <w:p>
      <w:pPr>
        <w:spacing w:after="0" w:line="10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September 25, 2024, Sanofi Biotechnologies SAS and Regeneron filed a brief seeking to expand the ongoing UPC action, alleging that Amgen’s Repatha infringes a newly-issued patent, European Patent No. 4,252,857, seeking an injunction against the marketing, use, or importation of Repatha in 18 countries (Austria, Belgium, Bulgaria, Denmark, Estonia, Finland, France, Germany, Italy, Latvia, Lithuania, Luxembourg, Malta, the Netherlands, Portugal, Romania, Slovenia and Sweden) and damages for past infringement.</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European Patent Office</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European Patent Office (EPO) Opposition Division will hear argument on Sanofi-Aventis and Regeneron’s opposition against Amgen’s EP ‘797 from March 31 to April 4, 2025.</w:t>
      </w:r>
    </w:p>
    <w:p>
      <w:pPr>
        <w:spacing w:after="0" w:line="10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In Amgen’s opposition before the EPO against Regeneron’s European Patent No. 3,536,712, the Opposition Division will hear argument on March 11 and 12, 2025.</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On September 16, 2024, Amgen filed an appeal brief with the Japanese Intellectual Property High Court, seeking to overturn the Japanese Patent Office’s decision to reject Amgen’s amended patent claims following a remand of the case to the Japanese Patent Office from the Japanese Intellectual Property High Court.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Prolia/XGEVA Biologics Price Competition and Innovation Act (BPCIA) Litigation</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Amgen Inc. et al. v. Samsung Bioepis Co. Ltd., et al.</w:t>
      </w:r>
    </w:p>
    <w:p>
      <w:pPr>
        <w:spacing w:after="0" w:line="138" w:lineRule="exact"/>
        <w:rPr>
          <w:sz w:val="20"/>
          <w:szCs w:val="20"/>
          <w:color w:val="auto"/>
        </w:rPr>
      </w:pPr>
    </w:p>
    <w:p>
      <w:pPr>
        <w:jc w:val="both"/>
        <w:ind w:firstLine="396"/>
        <w:spacing w:after="0" w:line="281" w:lineRule="auto"/>
        <w:rPr>
          <w:sz w:val="20"/>
          <w:szCs w:val="20"/>
          <w:color w:val="auto"/>
        </w:rPr>
      </w:pPr>
      <w:r>
        <w:rPr>
          <w:rFonts w:ascii="Times New Roman" w:cs="Times New Roman" w:eastAsia="Times New Roman" w:hAnsi="Times New Roman"/>
          <w:sz w:val="16"/>
          <w:szCs w:val="16"/>
          <w:color w:val="auto"/>
        </w:rPr>
        <w:t>On August 12, 2024, Amgen Inc. and Amgen Manufacturing Limited LLC filed a lawsuit in the U.S. District Court for the District of New Jersey (New Jersey District Court) against Samsung Bioepis Co. Ltd. (Bioepis) and Samsung Biologics Co., Ltd., (Biologics, and collectively with Bioepis, Samsung) based on the submission to the FDA of a Biologics License Application (BLA) seeking approval to market and sell a biosimilar version of Amgen’s Prolia and XGEVA products. The complaint asserts infringement of the following 34 patents: U.S. Patent Nos. 7,364,736; 7,888,101; 7,928,205; 8,058,418; 8,247,210; 8,460,896; 8,680,248; 9,012,178; 9,320,816; 9,328,134; 9,359,435; 9,481,901; 10,106,829; 10,167,492; 10,227,627; 10,421,987; 10,513,723; 10,583,397; 10,655,156; 10,822,630; 10,894,972; 10,907,186; 11,098,079; 11,130,980; 11,254,963; 11,292,829; 11,299,760; 11,384,378; 11,427,848; 11,434,514; 11,634,476; 11,685,772; 11,744,950; and 11,946,085 (collectively, the Asserted Patents). Amgen seeks a judgment from the New Jersey District Court that Samsung has infringed or will infringe one or more claims of each of the Asserted Patents and, based on that judgment, a permanent injunction prohibiting the commercial manufacture, use, offer to sell, or sale within the United States or importation into the United States of Samsung’s proposed denosumab biosimilar before expiration of each of the Asserted Patents found infringed. Amgen also seeks monetary remedies for any past acts of infringement. Bioepis filed its Answer and Counterclaims in response to the Complaint on October 1, 2024. Biologic’s response to the Complaint is due on October 28, 2024.</w:t>
      </w:r>
    </w:p>
    <w:p>
      <w:pPr>
        <w:spacing w:after="0" w:line="3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Amgen Inc. et al. v. Fresenius Kabi USA, LLC et al.</w:t>
      </w:r>
    </w:p>
    <w:p>
      <w:pPr>
        <w:spacing w:after="0" w:line="151" w:lineRule="exact"/>
        <w:rPr>
          <w:sz w:val="20"/>
          <w:szCs w:val="20"/>
          <w:color w:val="auto"/>
        </w:rPr>
      </w:pPr>
    </w:p>
    <w:p>
      <w:pPr>
        <w:jc w:val="both"/>
        <w:ind w:firstLine="396"/>
        <w:spacing w:after="0" w:line="281" w:lineRule="auto"/>
        <w:rPr>
          <w:sz w:val="20"/>
          <w:szCs w:val="20"/>
          <w:color w:val="auto"/>
        </w:rPr>
      </w:pPr>
      <w:r>
        <w:rPr>
          <w:rFonts w:ascii="Times New Roman" w:cs="Times New Roman" w:eastAsia="Times New Roman" w:hAnsi="Times New Roman"/>
          <w:sz w:val="16"/>
          <w:szCs w:val="16"/>
          <w:color w:val="auto"/>
        </w:rPr>
        <w:t>On October 4, 2024, Amgen Inc. and Amgen Manufacturing Limited LLC filed a lawsuit in the U.S. District Court for the Northern District of Illinois (Northern Illinois District Court) against Fresenius Kabi USA, LLC, Fresenius SwissBiosim GmbH, Fresenius Kabi Deutschland, GmbH, and Fresenius Kabi Austria GmbH (collectively, Fresenius) based on the submission to the FDA of a BLA seeking approval to market and sell a biosimilar version of Amgen’s Prolia and XGEVA products. The complaint asserts infringement of the following 33 patents: U.S. Patent Nos. 7,364,736; 7,888,101; 7,928,205; 8,053,236; 8,058,418; 8,460,896; 8,680,248; 9,012,178; 9,228,168; 9,320,816; 9,328,134; 9,359,435; 10,106,829; 10,167,492; 10,227,627; 10,513,723; 10,583,397; 10,655,156; 10,822,630; 10,894,972; 11,077,404; 11,098,079; 11,130,980; 11,254,963; 11,299,760; 11,319,568; 11,434,514; 11,459,595; 11,744,950; 11,786,866; 11,946,085; 11,952,605; and 12,084,686 (collectively, the Asserted Patents). Amgen seeks a judgment from the Northern Illinois District Court that Fresenius has infringed or will infringe one or more claims of each of the Asserted Patents and, based on that judgment, a permanent injunction prohibiting the commercial manufacture, use, offer to sell, or sale within the United States or importation into the United States of Fresenius’s proposed denosumab biosimilar before expiration of each of the Asserted Patents found infringed. Amgen also seeks monetary remedies for any past acts of infringement.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PAVBLU</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(formerly ABP 938 (aflibercept-ayyh)) Patent Litigation</w:t>
      </w:r>
    </w:p>
    <w:p>
      <w:pPr>
        <w:spacing w:after="0" w:line="105"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On September 23, 2024, the U.S. District Court for the Northern District of West Virginia denied Regeneron’s motion for a preliminary injunction, and Regeneron filed a notice of appeal, a motion to expedite the appeal, and an emergency motion for an injunction pending resolution of the appeal and for an administrative stay with the U.S. Court of Appeals for the Federal Circuit (the Federal Circuit Court). On September 25, 2024, the Federal Circuit Court issued an order temporarily enjoining the launch of PAVBLU on an administrative basis while it considered Regeneron’s motion for an injunction pending appeal. On October 22, 2024, the Federal Circuit Court denied Regeneron’s motion for an injunction pending appeal and lifted the temporary injunction that was entered on September 25, 2024. Amgen’s response brief to the appeal is due on November 4, 2024, Regeneron’s reply brief is due on November 13, 2024 and oral arguments for the appeal will be scheduled for January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Antitrust Class Actions</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Sensipar Antitrust Class Actions</w:t>
      </w:r>
    </w:p>
    <w:p>
      <w:pPr>
        <w:spacing w:after="0" w:line="15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On September 13, 2024, the putative class of direct purchasers of Sensipar (Sensipar Plaintiffs) filed their opening brief in its appeal of the dismissal of its claims by the U.S. District Court for the District of Delaware (Delaware District Court). Amgen has obtained an extension until November 14, 2024 to file its opposing brief. The Sensipar Plaintiffs’ reply is due December 5, 2024.</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i w:val="1"/>
          <w:iCs w:val="1"/>
          <w:color w:val="auto"/>
        </w:rPr>
        <w:t>Regeneron Pharmaceuticals, Inc. Antitrust Action</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trial before the Delaware District Court that had been set to begin on November 12, 2024 was taken off calendar. A new date for the trial has not yet been set. The Delaware District Court set a hearing on November 20, 2024 to hear Amgen’s motion for summary judgment and the parties’ motions to exclude expert testimony.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CareFirst of Maryland Antitrust Class Action</w:t>
      </w:r>
    </w:p>
    <w:p>
      <w:pPr>
        <w:spacing w:after="0" w:line="15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On August 6, 2024, CareFirst of Maryland, Inc., Group Hospitalization and Medical Services, Inc., and CareFirst BlueChoice, Inc. (collectively, CareFirst), filed a class action antitrust lawsuit against Amgen Inc., Amgen Manufacturing, Limited (corrected to Amgen Manufacturing Limited LLC in CareFirst’s amended complaint on October 11, 2024), and Immunex Corporation in the U.S. District Court for the Eastern District of Virginia, alleging federal and state antitrust claims and state consumer protection claims. The plaintiffs allege that, in 2004, Amgen entered into an anticompetitive agreement with certain F. Hoffman-La Roche AG entities (Roche) and other parties that provided Amgen with rights to Roche’s patents in a manner that enabled Amgen to allegedly unlawfully extend the life of patents applicable to ENBREL and, thereby, delay biosimilar entry. Amgen’s response to the complaint is due on November 4,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Tax Litigation and Related Matters</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Amgen Inc. &amp; Subsidiaries v. Commissioner of Internal Revenue</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4, Income taxes, for discussion of the IRS tax dispute and the Company’s petitions in the U.S. Tax Court.</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Securities Class Action Litigation (Roofers Local No. 149 Pension Fund)</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On September 30, 2024, the U.S. District Court for the Southern District of New York denied Amgen’s motion to dismiss. Amgen's response to the complaint is due on November 20, 2024.</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Shareholder Derivative Litigation (Hamilton)</w:t>
      </w:r>
    </w:p>
    <w:p>
      <w:pPr>
        <w:spacing w:after="0" w:line="13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 xml:space="preserve">On October 16, 2024, David Hamilton filed a derivative action captioned </w:t>
      </w:r>
      <w:r>
        <w:rPr>
          <w:rFonts w:ascii="Times New Roman" w:cs="Times New Roman" w:eastAsia="Times New Roman" w:hAnsi="Times New Roman"/>
          <w:sz w:val="18"/>
          <w:szCs w:val="18"/>
          <w:i w:val="1"/>
          <w:iCs w:val="1"/>
          <w:color w:val="auto"/>
        </w:rPr>
        <w:t>David Hamilton v. Robert A. Bradway, et al., No. 2024-1063</w:t>
      </w:r>
      <w:r>
        <w:rPr>
          <w:rFonts w:ascii="Times New Roman" w:cs="Times New Roman" w:eastAsia="Times New Roman" w:hAnsi="Times New Roman"/>
          <w:sz w:val="18"/>
          <w:szCs w:val="18"/>
          <w:color w:val="auto"/>
        </w:rPr>
        <w:t xml:space="preserve"> (Del. Chan. Ct. Oct. 16, 2024), purportedly on behalf of Amgen, against Amgen, Robert Bradway, Peter Griffith and Amgen’s Board members during the relevant time period. The action was filed in the Delaware Chancery Court. The complaint in this matter alleges claims for breach of fiduciary duty and unjust enrichment. The factual allegations that form the basis for these claims are fundamentally the same as those asserted by the Roofers Local No. 149 Pension Fund on March 13, 2023 (alleging false and misleading statements and omissions made from July 29, 2020 through April 27, 2022 relating to Amgen’s tax liabilities, business and finances, and the adequacy and maintenance of its internal controls).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ChemoCentryx, Inc. Securities Matters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On September 10, 2024, the U.S. District Court for the Northern District of California granted an administrative motion to extend certain case schedule deadlines, including setting the expert discovery cutoff to December 20, 2024 and setting the deadlines for summary judgment motions on April 4, 2025, summary judgment oppositions on April 25, 2025, and summary judgment replies on May 9, 2025. Trial is set for September 2025.</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ind w:left="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3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following MD&amp;A is intended to assist the reader in understanding Amgen’s business. MD&amp;A is provided as a supplement to and should be read in conjunction with our Annual Report on Form 10-K for the year ended December 31, 2023, and our Quarterly Reports on Form 10-Q for the periods ended March 31, 2024 and June 30, 2024. Our results of operations discussed in MD&amp;A are presented in conformity with GAAP. Amgen operates in one business segment: human therapeutics. Therefore, our results of operations are discussed on a consolidated basis.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38"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and in Part I, Item 1A. Risk Factors of our Annual Report on Form 10-K for the year ended December 31, 2023, and in Part II, Item 1A. Risk Factors of our Quarterly Reports on Form 10-Q for the periods ended March 31, 2024 and June 30, 2024.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and collaborations.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Amgen Inc. (including its subsidiaries, referred to as “Amgen,” “the Company,” “we,” “our” or “us”) discovers, develops, manufactures and delivers innovative medicines to fight some of the world’s toughest diseases. Amgen focuses on areas of high unmet medical need and leverages its expertise to strive for solutions that dramatically improve people’s lives, while also reducing the social and economic burden of disease. We helped launch the biotechnology industry more than 40 years ago and have grown to be one of the world’s leading independent biotechnology companies. Our robust pipeline includes potential first-in-class medicines at all stages of development.</w:t>
      </w:r>
    </w:p>
    <w:p>
      <w:pPr>
        <w:spacing w:after="0" w:line="12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principal products are Prolia, ENBREL, XGEVA, Repatha, Otezla, TEPEZZA, EVENITY, KYPROLIS, Nplate, Aranesp, KRYSTEXXA, BLINCYTO, Vectibix and TEZSPIRE. We also market a number of other products, including but not limited to MVASI, AMJEVITA/AMGEVITA, Neulasta, RAVICTI, Parsabiv, UPLIZNA, LUMAKRAS/LUMYKRAS, Aimovig, TAVNEOS, PROCYSBI, EPOGEN and IMDELLTRA.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and other challenges</w:t>
      </w:r>
    </w:p>
    <w:p>
      <w:pPr>
        <w:spacing w:after="0" w:line="164"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Uncertain macroeconomic conditions, including the risk of inflation, higher interest rates and instability in the financial system, as well as rising healthcare costs continue to pose challenges to our business. Further, ongoing geopolitical conflicts continue to create additional uncertainty in global macroeconomic conditions. Additionally, with public and private healthcare-provider focus, the industry continues to be subject to cost containment measures and significant pricing pressures, resulting in net price declines. Moreover, provisions of the IRA, as well as the 340B Drug Pricing Program, have affected, and are likely to continue to affect, our business. Finally, wholesale and end-user buying patterns can affect our product sales. These buying patterns can cause fluctuations in quarterly product sales but have generally not been significant to date when comparing full-year product performance to the prior year. See Part II, Item 1A. Risk Factors,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Following is a summary of selected significant developments affecting our business that occurred since the filing of our Quarterly Report on Form 10-Q for the period ended June 30, 2024. For additional developments, see our Annual Report on Form 10-K for the year ended December 31, 2023, and our Quarterly Reports on Form 10-Q for the periods ended March 31, 2024 and June 30,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Products/Pipeline</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TEPEZZA</w:t>
      </w:r>
    </w:p>
    <w:p>
      <w:pPr>
        <w:spacing w:after="0" w:line="138"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In September 2024, we announced TEPEZZA was approved for the treatment of active or high clinical activity score (CAS) thyroid eye disease (TED) in Japan.</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UPLIZNA</w:t>
      </w:r>
    </w:p>
    <w:p>
      <w:pPr>
        <w:spacing w:after="0" w:line="15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In September 2024, we announced top-line results of the Phase 3 MINT trial of UPLIZNA, an anti-CD19 humanized monoclonal antibody. MINT is a Phase 3, randomized, placebo-controlled, double-blind trial assessing the efficacy and safety of UPLIZNA in patients with generalized myasthenia gravis (gMG). The trial met its primary endpoint, with a statistically significant change from baseline in Myasthenia Gravis Activities of Daily Living (MG-ADL) score for UPLIZNA compared with placebo at week 26 of the combined patient population. UPLIZNA demonstrated a statistically significant and clinically meaningful change from baseline compared to placebo for four out of five key secondary endpoints. The overall safety results during the placebo-controlled period of the trial were consistent with the known safety profile of UPLIZNA.</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Rocatinlimab</w:t>
      </w:r>
    </w:p>
    <w:p>
      <w:pPr>
        <w:spacing w:after="0" w:line="15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September 2024, we announced top-line results of the Phase 3 ROCKET HORIZON trial of rocatinlimab, an investigational therapy targeting the OX40 receptor. ROCKET HORIZON is a Phase 3, randomized, placebo-controlled, double-blind trial assessing the efficacy, safety and tolerability of rocatinlimab monotherapy in adults with moderate to severe atopic dermatitis. The study met its co-primary endpoints and reached statistically significant difference from placebo for all key secondary endpoints. Overall safety findings in the study were comparable to those seen in the Phase 2b study.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an overview of our results of operations (in millions, except percentages and per-share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40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4"/>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4"/>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ROW</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7"/>
        </w:trPr>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product sales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7"/>
        </w:trPr>
        <w:tc>
          <w:tcPr>
            <w:tcW w:w="4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the following discussion of changes in product sales, any reference to unit demand growth or decline refers to changes in purchases of our products by healthcare providers (such as physicians or their clinics), dialysis centers, hospitals and pharmacies. In addition, any reference to increases or decreases in inventory refers to changes in inventory held by wholesaler customers and end users (such as pharmacies) as may be noted.</w:t>
      </w:r>
    </w:p>
    <w:p>
      <w:pPr>
        <w:spacing w:after="0" w:line="100"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Total product sales increased 24% and 22% for the three and nine months ended September 30, 2024, respectively, primarily driven by volume growth of 29% and 27%, respectively, partially offset by declines in net selling price of 2% and 3%, respectively.</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5" w:name="page36"/>
    <w:bookmarkEnd w:id="35"/>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For the three months ended September 30, 2024, U.S. volume grew 34% and ROW volume grew 18%. Product sales from acquired Horizon products contributed $1.1 billion, with volume growth of 12% from our other brands, including Repatha, TEZSPIRE, EVENITY, BLINCYTO and Prolia.</w:t>
      </w:r>
    </w:p>
    <w:p>
      <w:pPr>
        <w:spacing w:after="0" w:line="90"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For the nine months ended September 30, 2024, U.S. volume grew 31% and ROW volume grew 17%. Product sales from acquired Horizon products contributed $3.1 billion, with volume growth of 10% from our other brands, including Repatha, TEZSPIRE, EVENITY, Prolia and BLINCYTO.</w:t>
      </w:r>
    </w:p>
    <w:p>
      <w:pPr>
        <w:spacing w:after="0" w:line="10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For the remainder of 2024, we expect product sales growth from acquired Horizon products and volume growth from our other brands to be partially offset by net selling price declines on a year-over-year basis at a portfolio level.</w:t>
      </w:r>
    </w:p>
    <w:p>
      <w:pPr>
        <w:spacing w:after="0" w:line="10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Uncertain macroeconomic conditions, changes in the healthcare ecosystem and geopolitical conflicts have the potential to introduce variability into product sales. Furthermore, product sales continue to be impacted by actions from governments and other entities to curb high inflation, provisions of the IRA, the 340B Drug Pricing Program and growth in numbers of Medicaid enrollees and uninsured individuals. See Part I, Item 1A. Risk Factors of our Annual Report on Form 10-K for the year ended December 31, 2023, and Part II, Item 1A. Risk Factors, of our Quarterly Reports on Form 10-Q for the periods ended March 31, 2024, June 30, 2024 and September 30, 2024.</w:t>
      </w:r>
    </w:p>
    <w:p>
      <w:pPr>
        <w:spacing w:after="0" w:line="109"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18"/>
          <w:szCs w:val="18"/>
          <w:color w:val="auto"/>
        </w:rPr>
        <w:t>Other revenues remained relatively unchanged for the three months ended September 30, 2024. Other revenues increased for the nine months ended September 30, 2024, driven by higher royalty income and corporate partner revenue from licensed products.</w:t>
      </w:r>
    </w:p>
    <w:p>
      <w:pPr>
        <w:spacing w:after="0" w:line="10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Operating expenses increased for the three and nine months ended September 30, 2024, primarily driven by higher amortization expense from Horizon acquisition-related assets and expenses from the acquired Horizon business.</w:t>
      </w:r>
    </w:p>
    <w:p>
      <w:pPr>
        <w:spacing w:after="0" w:line="200" w:lineRule="exact"/>
        <w:rPr>
          <w:sz w:val="20"/>
          <w:szCs w:val="20"/>
          <w:color w:val="auto"/>
        </w:rPr>
      </w:pPr>
    </w:p>
    <w:p>
      <w:pPr>
        <w:spacing w:after="0" w:line="39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Worldwide product sales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1"/>
        </w:trPr>
        <w:tc>
          <w:tcPr>
            <w:tcW w:w="4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Prolia</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ENBREL</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XGEVA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Repatha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Otezla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40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TEPEZZA</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KYPROLIS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Nplate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Aranesp</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KRYSTEXXA</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BLINCYTO</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Vectibix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4"/>
        </w:trPr>
        <w:tc>
          <w:tcPr>
            <w:tcW w:w="40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TEZSPIRE</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2"/>
                <w:szCs w:val="22"/>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7"/>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product sales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110" w:lineRule="exact"/>
        <w:rPr>
          <w:sz w:val="20"/>
          <w:szCs w:val="20"/>
          <w:color w:val="auto"/>
        </w:rPr>
      </w:pPr>
    </w:p>
    <w:p>
      <w:pPr>
        <w:ind w:left="200" w:hanging="194"/>
        <w:spacing w:after="0"/>
        <w:tabs>
          <w:tab w:leader="none" w:pos="20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TEPEZZA and KRYSTEXXA were acquired from the acquisition of Horizon on October 6, 2023, and include product sales in the periods after the acquisition date.</w:t>
      </w:r>
    </w:p>
    <w:p>
      <w:pPr>
        <w:spacing w:after="0" w:line="131" w:lineRule="exact"/>
        <w:rPr>
          <w:rFonts w:ascii="Times New Roman" w:cs="Times New Roman" w:eastAsia="Times New Roman" w:hAnsi="Times New Roman"/>
          <w:sz w:val="9"/>
          <w:szCs w:val="9"/>
          <w:color w:val="auto"/>
        </w:rPr>
      </w:pPr>
    </w:p>
    <w:p>
      <w:pPr>
        <w:ind w:left="200" w:hanging="194"/>
        <w:spacing w:after="0"/>
        <w:tabs>
          <w:tab w:leader="none" w:pos="20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TEZSPIRE is marketed by our collaborator AstraZeneca outside the United States.</w:t>
      </w:r>
    </w:p>
    <w:p>
      <w:pPr>
        <w:spacing w:after="0" w:line="120" w:lineRule="exact"/>
        <w:rPr>
          <w:rFonts w:ascii="Times New Roman" w:cs="Times New Roman" w:eastAsia="Times New Roman" w:hAnsi="Times New Roman"/>
          <w:sz w:val="18"/>
          <w:szCs w:val="18"/>
          <w:color w:val="auto"/>
          <w:vertAlign w:val="superscript"/>
        </w:rPr>
      </w:pPr>
    </w:p>
    <w:p>
      <w:pPr>
        <w:ind w:left="200" w:hanging="194"/>
        <w:spacing w:after="0"/>
        <w:tabs>
          <w:tab w:leader="none" w:pos="20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product sales of our non-principal products.</w:t>
      </w:r>
    </w:p>
    <w:p>
      <w:pPr>
        <w:spacing w:after="0" w:line="16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Future sales of our products will depend in part on the factors discussed below and in the following sections of this report: (i) Part I, Item 2. Management’s Discussion and Analysis of Financial Condition and Results of Operations—Overview, and Selected financial information; and (ii) Part II, Item 1A. Risk Factors, and in the following sections of our Annual Report on Form 10-K for the year ended December 31, 2023: (i) Part I, Item 1. Business— Marketing, Distribution and Selected Marketed Products; (ii) Part I, Item 1A. Risk Factors; and (iii) Part II, Item 7. Management’s Discussion and Analysis of Financial Condition and Results of Operations—Overview, and Results of operations—Product sales, as well as in our Quarterly Reports on Form 10-Q for the periods ended March 31, 2024 and June 30, 2024: (i) Part I, Item 2. Management’s Discussion and Analysis of Financial Condition and Results of Operations —Results of operations—Product sales; and (ii) Part II, Item 1A. Risk Factors.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Prolia</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Prolia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1"/>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Prolia — U.S.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4"/>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Prolia — ROW</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2"/>
        </w:trPr>
        <w:tc>
          <w:tcPr>
            <w:tcW w:w="4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Prolia</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Prolia sales for the three months ended September 30, 2024 was driven by volume growth of 9%,</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partially offset by lower inventory.</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Prolia sales for the nine months ended September 30, 2024 was driven by volume growth.</w:t>
      </w:r>
    </w:p>
    <w:p>
      <w:pPr>
        <w:spacing w:after="0" w:line="14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disclosed in our Annual Report on Form 10-K for the year ended December 31, 2023, Part I, Item 1. Business—Marketing, Distribution and Selected Marketed Products—Patents, our U.S. patent for RANKL antibodies (including sequences) for Prolia and XGEVA expires in February 2025. For information about our settlement with Sandoz Inc., see Note 13, Contingencies and commitments, to the condensed consolidated financial statements in our Quarterly Report on Form 10-Q for the period ended March 31, 2024.</w:t>
      </w:r>
    </w:p>
    <w:p>
      <w:pPr>
        <w:spacing w:after="0" w:line="11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a discussion of litigation related to Prolia, see Part IV—Note 20, Contingencies and commitments, to the consolidated financial statements in our Annual Report on Form 10-K for the year ended December 31, 2023; and Note 13, Contingencies and commitments, to the condensed consolidated financial statements in our Quarterly Reports on Form 10-Q for the periods ended March 31, 2024, June 30, 2024 and September 30, 2024.</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ENBREL</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ENBREL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380" w:type="dxa"/>
            <w:vAlign w:val="bottom"/>
            <w:gridSpan w:val="5"/>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1"/>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ENBREL — U.S.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ENBREL — Canada</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ENBREL</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decrease in ENBREL sales for the three months ended September 30, 2024 was primarily driven by unfavorable changes to estimated sales deductions of 13% and lower net selling price of 12%.</w:t>
      </w:r>
    </w:p>
    <w:p>
      <w:pPr>
        <w:spacing w:after="0" w:line="103" w:lineRule="exact"/>
        <w:rPr>
          <w:sz w:val="20"/>
          <w:szCs w:val="20"/>
          <w:color w:val="auto"/>
        </w:rPr>
      </w:pPr>
    </w:p>
    <w:p>
      <w:pPr>
        <w:jc w:val="both"/>
        <w:ind w:firstLine="396"/>
        <w:spacing w:after="0" w:line="333" w:lineRule="auto"/>
        <w:rPr>
          <w:sz w:val="20"/>
          <w:szCs w:val="20"/>
          <w:color w:val="auto"/>
        </w:rPr>
      </w:pPr>
      <w:r>
        <w:rPr>
          <w:rFonts w:ascii="Times New Roman" w:cs="Times New Roman" w:eastAsia="Times New Roman" w:hAnsi="Times New Roman"/>
          <w:sz w:val="16"/>
          <w:szCs w:val="16"/>
          <w:color w:val="auto"/>
        </w:rPr>
        <w:t>The decrease in ENBREL sales for the nine months ended September 30, 2024 was driven by lower net selling price. Going forward, we expect relatively flat volumes with continued declines in net selling price, including the impact from the IRA Medicare Part D price set by CMS beginning in 2026.</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XGEVA</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XGEVA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0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1"/>
        </w:trPr>
        <w:tc>
          <w:tcPr>
            <w:tcW w:w="4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XGEVA — U.S.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XGEVA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2"/>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XGEVA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XGEVA sales for the three and nine months ended September 30, 2024 was driven by higher net selling price.</w:t>
      </w:r>
    </w:p>
    <w:p>
      <w:pPr>
        <w:spacing w:after="0" w:line="14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disclosed in our Annual Report on Form 10-K for the year ended December 31, 2023, Part I, Item 1. Business—Marketing, Distribution and Selected Marketed Products—Patents, our U.S. patent for RANKL antibodies (including sequences) for Prolia and XGEVA expires in February 2025. For information about our settlement with Sandoz Inc., see Note 13, Contingencies and commitments, to the condensed consolidated financial statements in our Quarterly Report on Form 10-Q for the period ended March 31, 2024.</w:t>
      </w:r>
    </w:p>
    <w:p>
      <w:pPr>
        <w:spacing w:after="0" w:line="10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a discussion of litigation related to XGEVA, see Part IV—Note 20, Contingencies and commitments, to the consolidated financial statements in our Annual Report on Form 10-K for the year ended December 31, 2023; and Note 13, Contingencies and commitments, to the condensed consolidated financial statements in our Quarterly Reports on Form 10-Q for the periods ended March 31, 2024, June 30, 2024 and September 30, 2024.</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i w:val="1"/>
          <w:iCs w:val="1"/>
          <w:color w:val="auto"/>
        </w:rPr>
        <w:t>Repatha</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Repatha sales by geographic region were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0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4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Repatha — U.S.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4"/>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Repatha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2"/>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Repatha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increase in global Repatha sales for the three months ended September 30, 2024 was driven by volume growth of 41% and favorable changes to estimated sales deductions of 8%, partially offset by lower net selling price of 10%.</w:t>
      </w:r>
    </w:p>
    <w:p>
      <w:pPr>
        <w:spacing w:after="0" w:line="10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increase in global Repatha sales for the nine months ended September 30, 2024 was driven by volume growth of 44%, partially offset by lower net selling price of 13%.</w:t>
      </w:r>
    </w:p>
    <w:p>
      <w:pPr>
        <w:spacing w:after="0" w:line="10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a discussion of ongoing litigation related to Repatha, see Part IV—Note 20, Contingencies and commitments, to the consolidated financial statements in our Annual Report on Form 10-K for the year ended December 31, 2023, and Note 13, Contingencies and commitments, to the condensed consolidated financial statements in our Quarterly Reports on Form 10-Q for the periods ended March 31, 2024, June 30, 2024 and September 30, 2024.</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Otezla</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Otezla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1"/>
        </w:trPr>
        <w:tc>
          <w:tcPr>
            <w:tcW w:w="4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4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Otezla — U.S.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Otezla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Otezla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decrease in global Otezla sales for the three months ended September 30, 2024 was primarily driven by lower net selling price of 7%, partially offset by volume growth of 5%.</w:t>
      </w:r>
    </w:p>
    <w:p>
      <w:pPr>
        <w:spacing w:after="0" w:line="10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decrease in global Otezla sales for the nine months ended September 30, 2024 was driven by lower net selling price of 8%, partially offset by higher inventory of 3% and volume growth of 2%.</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TEPEZZA</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TEPEZZA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100" w:type="dxa"/>
            <w:vAlign w:val="bottom"/>
            <w:gridSpan w:val="4"/>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91"/>
        </w:trPr>
        <w:tc>
          <w:tcPr>
            <w:tcW w:w="42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7"/>
        </w:trPr>
        <w:tc>
          <w:tcPr>
            <w:tcW w:w="4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TEPEZZA — U.S.</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4"/>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TEPEZZA — ROW</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2"/>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TEPEZZA</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16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TEPEZZA was acquired on October 6, 2023 from our Horizon acquisition and generated $488 million and $1.4 billion in product sales for the three and nine months ended September 30, 2024, respectively. As TEPEZZA was acquired on October 6, 2023, there were no recorded product sales for the comparative prior periods.</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i w:val="1"/>
          <w:iCs w:val="1"/>
          <w:color w:val="auto"/>
        </w:rPr>
        <w:t>EVENITY</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EVENITY sales by geographic region were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0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4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EVENITY — U.S.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EVENITY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2"/>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EVENITY</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EVENITY sales for the three and nine months ended September 30, 2024 was driven by volume growth.</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KYPROLIS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KYPROLIS sales by geographic region were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02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KYPROLIS — U.S.</w:t>
            </w:r>
          </w:p>
        </w:tc>
        <w:tc>
          <w:tcPr>
            <w:tcW w:w="74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KYPROLIS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KYPROLIS</w:t>
            </w:r>
          </w:p>
        </w:tc>
        <w:tc>
          <w:tcPr>
            <w:tcW w:w="74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increase in global KYPROLIS sales for the three and nine months ended September 30, 2024 was primarily driven by volume growth outside the United States.</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Nplate</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Nplate sales by geographic region were as follows (dollar amounts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02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1"/>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Nplate — U.S.</w:t>
            </w:r>
          </w:p>
        </w:tc>
        <w:tc>
          <w:tcPr>
            <w:tcW w:w="74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Nplate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Nplate</w:t>
            </w:r>
          </w:p>
        </w:tc>
        <w:tc>
          <w:tcPr>
            <w:tcW w:w="74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Global Nplate sales for the three months ended September 30, 2024 increased 9% and included U.S. government orders of $128 million and $142 million for the three months ended September 30, 2024 and 2023, respectively. Excluding the U.S. government orders from this comparison, global Nplate sales increased 18% for the three months ended September 30, 2024, driven by volume growth of 14% and higher net selling price.</w:t>
      </w:r>
    </w:p>
    <w:p>
      <w:pPr>
        <w:spacing w:after="0" w:line="11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Global Nplate sales for the nine months ended September 30, 2024 increased 3% and included U.S. government orders of $128 million and $224 million for the nine months ended September 30, 2024 and 2023, respectively. Excluding the U.S. government orders from this comparison, global Nplate sales increased 14% for the nine months ended September 30, 2024, driven by volume growth of 9% and higher net selling price.</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i w:val="1"/>
          <w:iCs w:val="1"/>
          <w:color w:val="auto"/>
        </w:rPr>
        <w:t>Aranesp</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Aranesp sales by geographic region were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00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Aranesp — U.S.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Aranesp — ROW</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Aranesp</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Aranesp sales for the three months ended September 30, 2024 was driven by volume growth outside the United States.</w:t>
      </w:r>
    </w:p>
    <w:p>
      <w:pPr>
        <w:spacing w:after="0" w:line="149"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decrease in global Aranesp sales for the nine months ended September 30, 2024 was driven by unfavorable changes to estimated sales deductions and unfavorable changes to foreign currency exchange rates, partially offset by volume growth outside the United States.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KRYSTEXXA</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KRYSTEXXA sales by geographic region were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100" w:type="dxa"/>
            <w:vAlign w:val="bottom"/>
            <w:gridSpan w:val="4"/>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9"/>
        </w:trPr>
        <w:tc>
          <w:tcPr>
            <w:tcW w:w="41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7"/>
        </w:trPr>
        <w:tc>
          <w:tcPr>
            <w:tcW w:w="4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9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KRYSTEXXA — U.S.</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KRYSTEXXA — ROW</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2"/>
        </w:trPr>
        <w:tc>
          <w:tcPr>
            <w:tcW w:w="4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KRYSTEXXA</w:t>
            </w: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N/A</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14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KRYSTEXXA was acquired on October 6, 2023 from our Horizon acquisition and generated $310 million and $839 million in product sales for the three and nine months ended September 30, 2024, respectively. As KRYSTEXXA was acquired on October 6, 2023, there were no recorded product sales for the comparative prior periods.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BLINCYTO</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BLINCYTO sales by geographic region were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98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40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BLINCYTO — U.S.</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4"/>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BLINCYTO — ROW</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2"/>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BLINCYTO</w:t>
            </w: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BLINCYTO sales for the three and nine months ended September 30, 2024 was primarily driven by volume growth.</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i w:val="1"/>
          <w:iCs w:val="1"/>
          <w:color w:val="auto"/>
        </w:rPr>
        <w:t>Vectibix</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Vectibix sales by geographic region were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0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4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Vectibix — U.S.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Vectibix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2"/>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Vectibix</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global Vectibix sales for the three and nine months ended September 30, 2024 was primarily driven by volume growth.</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TEZSPIRE</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TEZSPIRE sales by geographic region were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980" w:type="dxa"/>
            <w:vAlign w:val="bottom"/>
            <w:gridSpan w:val="4"/>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3"/>
                <w:szCs w:val="13"/>
                <w:color w:val="auto"/>
              </w:rPr>
            </w:pPr>
          </w:p>
        </w:tc>
      </w:tr>
      <w:tr>
        <w:trPr>
          <w:trHeight w:val="189"/>
        </w:trPr>
        <w:tc>
          <w:tcPr>
            <w:tcW w:w="40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40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TEZSPIRE — U.S.</w:t>
            </w:r>
          </w:p>
        </w:tc>
        <w:tc>
          <w:tcPr>
            <w:tcW w:w="72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increase in TEZSPIRE sales for the three and nine months ended September 30, 2024 was primarily driven by volume growth.</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product sales by geographic region were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MVASI — U.S.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MVASI — ROW</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AMJEVITA — U.S.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AMGEVITA — ROW</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Neulasta — U.S.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Neulasta — ROW</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RAVICTI — U.S.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RAVICTI — ROW</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Parsabiv — U.S.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Parsabiv — ROW</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UPLIZNA — U.S.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UPLIZNA — ROW</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LUMAKRAS — U.S.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LUMYKRAS — ROW</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Aimovig — U.S.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Aimovig — ROW</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TAVNEOS — U.S.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TAVNEOS — ROW</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PROCYSBI — U.S.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PROCYSBI — ROW</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EPOGEN — U.S.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IMDELLTRA — U.S.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 U.S.</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 ROW</w:t>
            </w:r>
            <w:r>
              <w:rPr>
                <w:rFonts w:ascii="Times New Roman" w:cs="Times New Roman" w:eastAsia="Times New Roman" w:hAnsi="Times New Roman"/>
                <w:sz w:val="22"/>
                <w:szCs w:val="22"/>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products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U.S. — other products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260" w:type="dxa"/>
            <w:vAlign w:val="bottom"/>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7"/>
                <w:szCs w:val="17"/>
                <w:color w:val="auto"/>
              </w:rPr>
            </w:pPr>
          </w:p>
        </w:tc>
        <w:tc>
          <w:tcPr>
            <w:tcW w:w="420" w:type="dxa"/>
            <w:vAlign w:val="bottom"/>
          </w:tcPr>
          <w:p>
            <w:pPr>
              <w:jc w:val="right"/>
              <w:ind w:right="212"/>
              <w:spacing w:after="0" w:line="197"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675</w:t>
            </w: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2,858</w:t>
            </w:r>
          </w:p>
        </w:tc>
        <w:tc>
          <w:tcPr>
            <w:tcW w:w="120" w:type="dxa"/>
            <w:vAlign w:val="bottom"/>
          </w:tcPr>
          <w:p>
            <w:pPr>
              <w:spacing w:after="0"/>
              <w:rPr>
                <w:sz w:val="17"/>
                <w:szCs w:val="17"/>
                <w:color w:val="auto"/>
              </w:rPr>
            </w:pPr>
          </w:p>
        </w:tc>
        <w:tc>
          <w:tcPr>
            <w:tcW w:w="400" w:type="dxa"/>
            <w:vAlign w:val="bottom"/>
          </w:tcPr>
          <w:p>
            <w:pPr>
              <w:jc w:val="right"/>
              <w:ind w:right="21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2,271</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ROW — other products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7"/>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products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Change in excess of 100%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w:t>
      </w:r>
    </w:p>
    <w:p>
      <w:pPr>
        <w:spacing w:after="0" w:line="57" w:lineRule="exact"/>
        <w:rPr>
          <w:sz w:val="20"/>
          <w:szCs w:val="20"/>
          <w:color w:val="auto"/>
        </w:rPr>
      </w:pPr>
    </w:p>
    <w:p>
      <w:pPr>
        <w:ind w:left="200" w:hanging="194"/>
        <w:spacing w:after="0"/>
        <w:tabs>
          <w:tab w:leader="none" w:pos="20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RAVICTI, UPLIZNA and PROCYSBI were acquired from our Horizon acquisition on October 6, 2023, and include product sales in the periods after the acquisition date.</w:t>
      </w:r>
    </w:p>
    <w:p>
      <w:pPr>
        <w:spacing w:after="0" w:line="155" w:lineRule="exact"/>
        <w:rPr>
          <w:rFonts w:ascii="Times New Roman" w:cs="Times New Roman" w:eastAsia="Times New Roman" w:hAnsi="Times New Roman"/>
          <w:sz w:val="9"/>
          <w:szCs w:val="9"/>
          <w:color w:val="auto"/>
        </w:rPr>
      </w:pPr>
    </w:p>
    <w:p>
      <w:pPr>
        <w:ind w:left="240" w:hanging="234"/>
        <w:spacing w:after="0" w:line="231" w:lineRule="auto"/>
        <w:tabs>
          <w:tab w:leader="none" w:pos="266"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Consists of product sales from (i) KANJINTI, RIABNI, Corlanor, AVSOLA, NEUPOGEN, IMLYGIC, BEKEMV, WEZLANA/WEZENLA and Sensipar/Mimpara; and (ii) ACTIMMUNE, RAYOS, BUPHENYL, QUINSAIR, PENNSAID and DUEXIS in the periods after our Horizon acquisition on October 6, 2023.</w:t>
      </w:r>
    </w:p>
    <w:p>
      <w:pPr>
        <w:spacing w:after="0" w:line="200" w:lineRule="exact"/>
        <w:rPr>
          <w:sz w:val="20"/>
          <w:szCs w:val="20"/>
          <w:color w:val="auto"/>
        </w:rPr>
      </w:pPr>
    </w:p>
    <w:p>
      <w:pPr>
        <w:spacing w:after="0" w:line="3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Operating expenses were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89"/>
        </w:trPr>
        <w:tc>
          <w:tcPr>
            <w:tcW w:w="3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7"/>
        </w:trPr>
        <w:tc>
          <w:tcPr>
            <w:tcW w:w="3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4"/>
        </w:trPr>
        <w:tc>
          <w:tcPr>
            <w:tcW w:w="3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3,310</w:t>
            </w:r>
          </w:p>
        </w:tc>
        <w:tc>
          <w:tcPr>
            <w:tcW w:w="8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total revenues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of total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total revenues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19,391</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13,368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Cost of sales increased to 38.9% and 40.0% of total revenues for the three and nine months ended September 30, 2024, respectively, driven by higher amortization expense from Horizon acquisition-related assets and, to a lesser extent, higher royalty and profit share expense. The increase for the nine months ended September 30, 2024 was partially offset by the prior year impact of the 2022 Puerto Rico tax law change, which replaced an excise tax with an income tax beginning in 2023. See Note 4, Income taxes, to the condensed consolidated financial statements.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5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increase in R&amp;D expense for the three and nine months ended September 30, 2024, was driven by higher spend in later-stage clinical programs, marketed product support and research and early pipeline, including Horizon-acquired programs. We expect to continue to grow our spend on later-stage clinical programs as we advance our pipeline.</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increase in SG&amp;A expense for the three months ended September 30, 2024, was primarily driven by commercial expenses related to Horizon-acquired products.</w:t>
      </w:r>
    </w:p>
    <w:p>
      <w:pPr>
        <w:spacing w:after="0" w:line="10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increase in SG&amp;A expense for the nine months ended September 30, 2024, was driven by expenses from the acquired Horizon business and other commercial expenses.</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51"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Other operating expenses for the three and nine months ended September 30, 2024, consisted primarily of impairment charges associated with IPR&amp;D assets and changes in the fair values of contingent consideration liabilities, both related to our Teneobio, Inc. acquisition from 2021.</w:t>
      </w:r>
    </w:p>
    <w:p>
      <w:pPr>
        <w:spacing w:after="0" w:line="10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Other operating expenses for the three and nine months ended September 30, 2023, consisted of a net impairment charge resulting from the termination of AMG 340 and expenses related to our restructuring plan initiated in the first quarter of 2023.</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Nonoperating expense/income and income taxes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Nonoperating expense/income and income taxes were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1"/>
        </w:trPr>
        <w:tc>
          <w:tcPr>
            <w:tcW w:w="48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6"/>
        </w:trPr>
        <w:tc>
          <w:tcPr>
            <w:tcW w:w="48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(2,054)</w:t>
            </w:r>
          </w:p>
        </w:tc>
      </w:tr>
      <w:tr>
        <w:trPr>
          <w:trHeight w:val="22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w w:val="93"/>
              </w:rPr>
              <w:t>1,830</w:t>
            </w:r>
          </w:p>
        </w:tc>
        <w:tc>
          <w:tcPr>
            <w:tcW w:w="100" w:type="dxa"/>
            <w:vAlign w:val="bottom"/>
          </w:tcPr>
          <w:p>
            <w:pPr>
              <w:spacing w:after="0"/>
              <w:rPr>
                <w:sz w:val="19"/>
                <w:szCs w:val="19"/>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2,431</w:t>
            </w:r>
          </w:p>
        </w:tc>
      </w:tr>
      <w:tr>
        <w:trPr>
          <w:trHeight w:val="224"/>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1,053</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5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Interest expense, net, remained relatively unchanged for the three months ended September 30, 2024. The increase in Interest expense, net, for the nine months ended September 30, 2024, was primarily due to higher average debt outstanding and higher weighted-average fixed and floating interest rates on the debt.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38"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The increase in Other income, net, for the three months ended September 30, 2024, was primarily due to higher unrealized gains on our strategic equity investments, primarily BeiGene, partially offset by reduced interest income as a result of lower average cash balances.</w:t>
      </w:r>
    </w:p>
    <w:p>
      <w:pPr>
        <w:spacing w:after="0" w:line="10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decrease in Other income, net, for the nine months ended September 30, 2024, was primarily due to lower current year net unrealized gains on our strategic equity investments, primarily BeiGene, and reduced interest income as a result of lower average cash balances. Prior period net gains on our strategic equity investments were principally composed of amounts recognized on our BeiGene investment in the first quarter of 2023 as a result of a change from the equity method of accounting to recording this investment at fair value with changes in fair value recognized in earnings. See Note 6, Investments, to the condensed consolidated financial statements.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5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decrease in our effective tax rate for the three months ended September 30, 2024, was primarily due to the earnings mix as a result of the inclusion of the Horizon business (including the amortization of Horizon acquired assets), partially offset by the quarter-to-date unrealized gains on our strategic equity investments (primarily BeiGene). See Note 6, Investments</w:t>
      </w:r>
      <w:r>
        <w:rPr>
          <w:rFonts w:ascii="Times New Roman" w:cs="Times New Roman" w:eastAsia="Times New Roman" w:hAnsi="Times New Roman"/>
          <w:sz w:val="18"/>
          <w:szCs w:val="18"/>
          <w:i w:val="1"/>
          <w:iCs w:val="1"/>
          <w:color w:val="auto"/>
        </w:rPr>
        <w:t>—BeiGene, Ltd.,</w:t>
      </w:r>
      <w:r>
        <w:rPr>
          <w:rFonts w:ascii="Times New Roman" w:cs="Times New Roman" w:eastAsia="Times New Roman" w:hAnsi="Times New Roman"/>
          <w:sz w:val="18"/>
          <w:szCs w:val="18"/>
          <w:color w:val="auto"/>
        </w:rPr>
        <w:t xml:space="preserve"> to the condensed consolidated financial statements. The decrease in our effective tax rate for the nine months ended September 30, 2024, was primarily due to the earnings mix as a result of the inclusion of the Horizon business (including the amortization of Horizon acquired assets).</w:t>
      </w:r>
    </w:p>
    <w:p>
      <w:pPr>
        <w:spacing w:after="0" w:line="10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As previously reported, the OECD reached an agreement to align countries on a minimum corporate tax rate and an expansion of the taxing rights of market countries. Effective January 1, 2024, selected individual countries, including the United Kingdom and EU member countries, have enacted the global minimum tax agreement. Our legal entities in the countries that have enacted the agreement, along with their direct and indirect subsidiaries, are now subject to a 15% minimum tax rate on adjusted financial statement income. Other countries, including the United States and the U.S. territory of Puerto Rico, have not yet enacted the OECD agreement, and implementation remains highly uncertain. The continued enactment of the agreement, either by all OECD participants or unilaterally by individual countries, could result in tax increases or double taxation in the United States or foreign jurisdictions.</w:t>
      </w:r>
    </w:p>
    <w:p>
      <w:pPr>
        <w:spacing w:after="0" w:line="12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of January 1, 2023, we are no longer subject to a 4% excise tax in the U.S. territory of Puerto Rico on the gross intercompany purchase price of goods and services from our manufacturer in Puerto Rico. We qualify for and are subject to the alternative income tax rate on industrial development income of our Puerto Rico affiliate. In the United States, this income tax qualifies for foreign tax credits under the U.S. Treasury final foreign tax credit regulations. See Note 4, Income taxes, to the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1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 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12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firmly believe that the IRS positions set forth in the 2010–2012 and 2013–2015 Notices are without merit. We are contesting the 2010–2012 and 2013–2015 Notices through the judicial process. The two cases were consolidated in the U.S. Tax Court on December 19, 2022. The trial is currently scheduled to begin on November 4, 2024.</w:t>
      </w:r>
    </w:p>
    <w:p>
      <w:pPr>
        <w:spacing w:after="0" w:line="113"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We are currently under examination by the IRS for the years 2016–2018 with respect to issues similar to those for the 2010 through 2015 period. In addition, we are under examination by a number of state and foreign tax jurisdictions.</w:t>
      </w:r>
    </w:p>
    <w:p>
      <w:pPr>
        <w:spacing w:after="0" w:line="90" w:lineRule="exact"/>
        <w:rPr>
          <w:sz w:val="20"/>
          <w:szCs w:val="20"/>
          <w:color w:val="auto"/>
        </w:rPr>
      </w:pPr>
    </w:p>
    <w:p>
      <w:pPr>
        <w:jc w:val="both"/>
        <w:ind w:firstLine="396"/>
        <w:spacing w:after="0" w:line="294" w:lineRule="auto"/>
        <w:rPr>
          <w:sz w:val="20"/>
          <w:szCs w:val="20"/>
          <w:color w:val="auto"/>
        </w:rPr>
      </w:pPr>
      <w:r>
        <w:rPr>
          <w:rFonts w:ascii="Times New Roman" w:cs="Times New Roman" w:eastAsia="Times New Roman" w:hAnsi="Times New Roman"/>
          <w:sz w:val="16"/>
          <w:szCs w:val="16"/>
          <w:color w:val="auto"/>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spacing w:after="0" w:line="8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See our Annual Report on Form 10-K for the year ended December 31, 2023, Part I, Item 1A, Risk Factors—</w:t>
      </w:r>
      <w:r>
        <w:rPr>
          <w:rFonts w:ascii="Times New Roman" w:cs="Times New Roman" w:eastAsia="Times New Roman" w:hAnsi="Times New Roman"/>
          <w:sz w:val="18"/>
          <w:szCs w:val="18"/>
          <w:i w:val="1"/>
          <w:iCs w:val="1"/>
          <w:color w:val="auto"/>
        </w:rPr>
        <w:t>We could be subject to additional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 </w:t>
      </w:r>
      <w:r>
        <w:rPr>
          <w:rFonts w:ascii="Times New Roman" w:cs="Times New Roman" w:eastAsia="Times New Roman" w:hAnsi="Times New Roman"/>
          <w:sz w:val="18"/>
          <w:szCs w:val="18"/>
          <w:color w:val="auto"/>
        </w:rPr>
        <w:t>and Note 4, Income taxes,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financial statements in this filing for further discussion.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Selected financial data were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6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97,154</w:t>
            </w: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w:t>
            </w: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Our balance of cash and cash equivalents was $9.0 billion as of September 30, 2024.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Capital allocation</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Consistent with the objective to optimize our capital structure, we deploy our accumulated cash balances in a strategic manner and consider a number of alternatives, including investments in innovation both internally and externally (including investments that expand our portfolio of products in areas of therapeutic interest), capital expenditures, repayment of debt, payment of dividends and stock repurchases.</w:t>
      </w:r>
    </w:p>
    <w:p>
      <w:pPr>
        <w:spacing w:after="0" w:line="113"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intend to continue investing in our business while reducing our debt and returning capital to stockholders through the payment of cash dividends and stock repurchases. This reflects our desire to optimize our cost of capital and our confidence in the future cash flows of our business. The timing and amount of future dividends and stock repurchases will vary based on a number of factors, including future capital requirements for strategic transactions, debt levels and debt service requirements, our credit rating, availability of financing on acceptable terms,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accelerated share repurchases and market transactions.</w:t>
      </w:r>
    </w:p>
    <w:p>
      <w:pPr>
        <w:spacing w:after="0" w:line="122" w:lineRule="exact"/>
        <w:rPr>
          <w:sz w:val="20"/>
          <w:szCs w:val="20"/>
          <w:color w:val="auto"/>
        </w:rPr>
      </w:pPr>
    </w:p>
    <w:p>
      <w:pPr>
        <w:jc w:val="both"/>
        <w:ind w:firstLine="396"/>
        <w:spacing w:after="0" w:line="304" w:lineRule="auto"/>
        <w:rPr>
          <w:sz w:val="20"/>
          <w:szCs w:val="20"/>
          <w:color w:val="auto"/>
        </w:rPr>
      </w:pPr>
      <w:r>
        <w:rPr>
          <w:rFonts w:ascii="Times New Roman" w:cs="Times New Roman" w:eastAsia="Times New Roman" w:hAnsi="Times New Roman"/>
          <w:sz w:val="16"/>
          <w:szCs w:val="16"/>
          <w:color w:val="auto"/>
        </w:rPr>
        <w:t>In August 2024, March 2024 and December 2023, our Board of Directors declared quarterly cash dividends of $2.25 per share of common stock, which were paid in September 2024, June 2024 and March 2024, respectively, and was an increase of 6% over the quarterly cash dividends paid each quarter in 2023. In October 2024, our Board of Directors declared a quarterly cash dividend of $2.25 per share of common stock that will be paid in December 2024.</w:t>
      </w:r>
    </w:p>
    <w:p>
      <w:pPr>
        <w:spacing w:after="0" w:line="66"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During the nine months ended September 30, 2024, we did not repurchase any of our common stock under our stock repurchase program. As of September 30, 2024, $7.0 billion of authorization remained available under our stock repurchase program.</w:t>
      </w:r>
    </w:p>
    <w:p>
      <w:pPr>
        <w:spacing w:after="0" w:line="10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a result of stock repurchases and quarterly dividend payments, we have an accumulated deficit as of September 30, 2024 and December 31, 2023. Our accumulated deficit is not anticipated to affect our future ability to operate, repurchase stock, pay dividends or repay our debt given our strong financial position.</w:t>
      </w:r>
    </w:p>
    <w:p>
      <w:pPr>
        <w:spacing w:after="0" w:line="11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2024 and 2023, debt repayments totaled $3.6 billion and $1.5 billion, respectively. In addition, we opportunistically repurchase our debt when market conditions are favorable. During the nine months ended September 30, 2024 and 2023, we paid $659 million and $550 million, respectively, to extinguish principal amounts of debt of $875 million and $739 million, respectively.</w:t>
      </w:r>
    </w:p>
    <w:p>
      <w:pPr>
        <w:spacing w:after="0" w:line="100" w:lineRule="exact"/>
        <w:rPr>
          <w:sz w:val="20"/>
          <w:szCs w:val="20"/>
          <w:color w:val="auto"/>
        </w:rPr>
      </w:pPr>
    </w:p>
    <w:p>
      <w:pPr>
        <w:jc w:val="both"/>
        <w:ind w:firstLine="396"/>
        <w:spacing w:after="0" w:line="286" w:lineRule="auto"/>
        <w:rPr>
          <w:sz w:val="20"/>
          <w:szCs w:val="20"/>
          <w:color w:val="auto"/>
        </w:rPr>
      </w:pPr>
      <w:r>
        <w:rPr>
          <w:rFonts w:ascii="Times New Roman" w:cs="Times New Roman" w:eastAsia="Times New Roman" w:hAnsi="Times New Roman"/>
          <w:sz w:val="16"/>
          <w:szCs w:val="16"/>
          <w:color w:val="auto"/>
        </w:rPr>
        <w:t>We believe that existing funds, cash generated from operations and existing sources of and access to financing are adequate to satisfy our needs for working capital, capital expenditure and debt service requirements, as well as our plans to reduce debt,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See our Annual Report on Form 10-K for the year ended December 31, 2023, Part I, Item 1A. Risk Factors—</w:t>
      </w:r>
      <w:r>
        <w:rPr>
          <w:rFonts w:ascii="Times New Roman" w:cs="Times New Roman" w:eastAsia="Times New Roman" w:hAnsi="Times New Roman"/>
          <w:sz w:val="16"/>
          <w:szCs w:val="16"/>
          <w:i w:val="1"/>
          <w:iCs w:val="1"/>
          <w:color w:val="auto"/>
        </w:rPr>
        <w:t>Global economic conditions may negatively affect us and may magnify certain risks that affect our business.</w:t>
      </w:r>
    </w:p>
    <w:p>
      <w:pPr>
        <w:spacing w:after="0" w:line="9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Certain of our financing arrangements contain nonfinancial covenants. In addition, our revolving credit agreement and term loan credit agreement include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earnings before interest, taxes, depreciation and amortization) to (ii) Consolidated Interest Expense, each as defined and described in the respective agreements. We were in compliance with all applicable covenants under these arrangements as of September 30, 2024.</w:t>
      </w:r>
    </w:p>
    <w:p>
      <w:pPr>
        <w:spacing w:after="0" w:line="200" w:lineRule="exact"/>
        <w:rPr>
          <w:sz w:val="20"/>
          <w:szCs w:val="20"/>
          <w:color w:val="auto"/>
        </w:rPr>
      </w:pPr>
    </w:p>
    <w:p>
      <w:pPr>
        <w:spacing w:after="0" w:line="31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summarized cash flow activity was as follows (in millions):</w:t>
      </w:r>
    </w:p>
    <w:p>
      <w:pPr>
        <w:spacing w:after="0" w:line="182"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w:t>
            </w:r>
          </w:p>
        </w:tc>
      </w:tr>
    </w:tbl>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15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Cash provided by operating activities has been and is expected to continue to be our primary recurring source of funds. Cash provided by operating activities during the nine months ended September 30, 2024, decreased compared with the prior year period due to the timing of repatriation and income tax payments to the IRS, partially offset by higher net income after adjustments for noncash items and timing of working capital.</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2024, was primarily due to capital expenditures of $725 million, including construction costs of new plants in North Carolina and Ohio. Cash provided by investing activities during the nine months ended September 30, 2023, was primarily due to net cash inflows from sales and maturities of marketable securities of $1.7 billion, partially offset by capital expenditures of $863 million, including construction costs of new plants in North Carolina and Ohio. We currently estimate full year 2024 spending on capital projects to be approximately $1.3 billion.</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5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2024, was primarily due to the payment of dividends of $3.6 billion and the repayment and extinguishment of debt of $3.6 billion and $659 million, respectively. Cash provided by financing activities during the nine months ended September 30, 2023, was primarily due to proceeds from the issuance of debt of $23.8 billion, partially offset by the payment of dividends of $3.4 billion, as well as the repayment and extinguishment of debt of $1.5 billion and $550 million, respectively. See Note 9, Financing arrangements, and Note 10, Stockholders’ equity, to the condensed consolidated financial statements for further discussion.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and estimates is presented in Part II, Item 7. Management’s Discussion and Analysis of Financial Condition and Results of Operations, of our Annual Report on Form 10-K for the year ended December 31, 2023.</w:t>
      </w:r>
    </w:p>
    <w:p>
      <w:pPr>
        <w:spacing w:after="0" w:line="252"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Information about our market risk is disclosed in Part II, Item 7A. Quantitative and Qualitative Disclosures About Market Risk, of our Annual Report on Form 10-K for the year ended December 31, 2023, and is incorporated herein by reference. There were no material changes during the nine months ended September 30, 2024, to the information provided in Part II, Item 7A. Quantitative and Qualitative Disclosures About Market Risk, of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30"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the Securities Exchange Act Rule 13a-15(e) that are designed to ensure that information required to be disclosed in Amgen’s Exchange Act reports gets recorded, processed, summarized and reported within the time periods specified in the SEC’s rules and forms and that such information gets accumulated and communicated to Amgen’s management, including its Chief Executive Officer and Chief Financial Officer, as appropriate, to facilitate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carried out an evaluation under the supervision and with the participation of our management, including Amgen’s Chief Executive Officer and Chief Financial Officer, of the effectiveness of the design and operation of Amgen’s disclosure controls and procedures. Based on their evaluation and subject to the foregoing, the Chief Executive Officer and Chief Financial Officer concluded that our disclosure controls and procedures were effective as of September 30, 2024.</w:t>
      </w:r>
    </w:p>
    <w:p>
      <w:pPr>
        <w:spacing w:after="0" w:line="125"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Management determined that as of September 30, 2024, no changes in our internal control over financial reporting had occurred during the fiscal quarter then ended that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See Part I—Note 13, Contingencies and commitments, to the condensed consolidated financial statements included in our Quarterly Reports on Form 10-Q for the periods ended March 31, 2024, June 30, 2024 and September 30, 2024, for discussions that are limited to certain recent developments concerning our legal proceedings. Those discussions should be read in conjunction with Part IV—Note 20, Contingencies and commitments, to the consolidated financial statements in our Annual Report on Form 10-K for the year ended December 31, 2023.</w:t>
      </w:r>
    </w:p>
    <w:p>
      <w:pPr>
        <w:spacing w:after="0" w:line="246"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30" w:lineRule="exact"/>
        <w:rPr>
          <w:sz w:val="20"/>
          <w:szCs w:val="20"/>
          <w:color w:val="auto"/>
        </w:rPr>
      </w:pPr>
    </w:p>
    <w:p>
      <w:pPr>
        <w:jc w:val="both"/>
        <w:ind w:firstLine="396"/>
        <w:spacing w:after="0" w:line="286" w:lineRule="auto"/>
        <w:rPr>
          <w:sz w:val="20"/>
          <w:szCs w:val="20"/>
          <w:color w:val="auto"/>
        </w:rPr>
      </w:pPr>
      <w:r>
        <w:rPr>
          <w:rFonts w:ascii="Times New Roman" w:cs="Times New Roman" w:eastAsia="Times New Roman" w:hAnsi="Times New Roman"/>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9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Below we provide in supplemental form the material changes to our risk factors that occurred during the past quarter. Our risk factors disclosed in Part I, Item 1A, of our Annual Report on Form 10-K for the year ended December 31, 2023, provide additional disclosure for these supplemental risks and are incorporated herein by reference.</w:t>
      </w:r>
    </w:p>
    <w:p>
      <w:pPr>
        <w:spacing w:after="0" w:line="98" w:lineRule="exact"/>
        <w:rPr>
          <w:sz w:val="20"/>
          <w:szCs w:val="20"/>
          <w:color w:val="auto"/>
        </w:rPr>
      </w:pPr>
    </w:p>
    <w:p>
      <w:pPr>
        <w:jc w:val="both"/>
        <w:ind w:right="20" w:firstLine="392"/>
        <w:spacing w:after="0" w:line="272" w:lineRule="auto"/>
        <w:rPr>
          <w:sz w:val="20"/>
          <w:szCs w:val="20"/>
          <w:color w:val="auto"/>
        </w:rPr>
      </w:pPr>
      <w:r>
        <w:rPr>
          <w:rFonts w:ascii="Times New Roman" w:cs="Times New Roman" w:eastAsia="Times New Roman" w:hAnsi="Times New Roman"/>
          <w:sz w:val="18"/>
          <w:szCs w:val="18"/>
          <w:i w:val="1"/>
          <w:iCs w:val="1"/>
          <w:color w:val="auto"/>
        </w:rPr>
        <w:t>Our sales depend on coverage and reimbursement from government and commercial third-party payers, and pricing and reimbursement pressures have affected, and are likely to continue to affect, our profitability.</w:t>
      </w:r>
    </w:p>
    <w:p>
      <w:pPr>
        <w:spacing w:after="0" w:line="100"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8"/>
          <w:szCs w:val="18"/>
          <w:color w:val="auto"/>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Further, pressures on healthcare budgets from the economic downturn and inflation continue and are likely to increase across the markets we serve. Payers are increasingly focused on costs, which have resulted, and are expected to continue to result, in lower reimbursement rates for our products or narrower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that attempt to lower drug prices. These include the IRA law that enables the U.S. government to set prices for certain drugs in Medicare, redesigns Medicare Part D benefits to shift a greater portion of the costs to manufacturers and enables the U.S. government to impose penalties if drug prices are increased at a rate faster than inflation (IRA Inflation Penalties). Additional proposals focused on drug pricing continue to be debated, and additional executive orders or regulatory initiatives focused on drug pricing and competition are likely to be adopted and implemented in some form. In March 2024, the Administration released its budget plan for fiscal year 2025 that included proposals to expand the IRA’s drug price setting to more drugs and sooner after launch and making IRA Inflation Penalties applicable to commercial health insurance. Government actions or ballot initiatives at the state level also represent a highly active area of policymaking and experimentation, including proposals that limit drug reimbursement under state run Medicaid programs based on decisions of drug affordability boards, use of reference prices, or permitting importation of drugs from Canada. Such state policies may also eventually be adopted at the federal level.</w:t>
      </w:r>
    </w:p>
    <w:p>
      <w:pPr>
        <w:spacing w:after="0" w:line="12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unable to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p>
      <w:pPr>
        <w:jc w:val="both"/>
        <w:ind w:firstLine="392"/>
        <w:spacing w:after="0" w:line="272" w:lineRule="auto"/>
        <w:rPr>
          <w:sz w:val="20"/>
          <w:szCs w:val="20"/>
          <w:color w:val="auto"/>
        </w:rPr>
      </w:pPr>
      <w:r>
        <w:rPr>
          <w:rFonts w:ascii="Times New Roman" w:cs="Times New Roman" w:eastAsia="Times New Roman" w:hAnsi="Times New Roman"/>
          <w:sz w:val="18"/>
          <w:szCs w:val="18"/>
          <w:i w:val="1"/>
          <w:iCs w:val="1"/>
          <w:color w:val="auto"/>
        </w:rPr>
        <w:t>—Changing U.S. federal coverage and reimbursement policies and practices have affected and are likely to continue to affect access to, pricing of and sales of our products</w:t>
      </w:r>
    </w:p>
    <w:p>
      <w:pPr>
        <w:spacing w:after="0" w:line="87" w:lineRule="exact"/>
        <w:rPr>
          <w:sz w:val="20"/>
          <w:szCs w:val="20"/>
          <w:color w:val="auto"/>
        </w:rPr>
      </w:pPr>
    </w:p>
    <w:p>
      <w:pPr>
        <w:jc w:val="both"/>
        <w:ind w:firstLine="396"/>
        <w:spacing w:after="0" w:line="276" w:lineRule="auto"/>
        <w:rPr>
          <w:sz w:val="20"/>
          <w:szCs w:val="20"/>
          <w:color w:val="auto"/>
        </w:rPr>
      </w:pPr>
      <w:r>
        <w:rPr>
          <w:rFonts w:ascii="Times New Roman" w:cs="Times New Roman" w:eastAsia="Times New Roman" w:hAnsi="Times New Roman"/>
          <w:sz w:val="16"/>
          <w:szCs w:val="16"/>
          <w:color w:val="auto"/>
        </w:rPr>
        <w:t>A substantial portion of our U.S. business relies on reimbursement from federal government healthcare programs and commercial insurance plans regulated by federal and state governments. See Part I, Item 1. Business—Reimbursement, of our Annual Report on Form 10-K for the year ended December 31, 2023. Our business has been and will continue to be affected by legislative actions changing U.S. federal reimbursement policy. For example, in 2022, the IRA was enacted and includes provisions requiring that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The Medicare price setting process began in August 2023 when CMS announced the first 10 drugs for Medicare price setting, which includes ENBREL, currently a product that generates considerable revenue. Effective July 30, 2024, CMS set a price for ENBREL in Medicare Part D, applicable beginning on January 1, 2026, which we expect will negatively impact its profitability. See Part I, Item 2. Management’s Discussion and Analysis of Financial Condition and Results of Operations—Results of operations—Product sales—ENBREL. Depending on the growth and success of our medicines, other of our medicines may also be subject to selection by CMS in the next, or in a future, cycle of mandatory Medicare price setting. If other of our medicines are selected by CMS for mandatory Medicare price setting, we may be required to accept a price set by the government for Medicare similar to the process that was applied to ENBREL. Also under the IRA, starting on January 1, 2024, Medicare Part D was redesigned to cap beneficiary out-of-pocket costs and, beginning January 1, 2025, Federal reinsurance will be reduced in the catastrophic phase (resulting in a shift and increase of such costs to Part D plans and manufacturers, including by requiring manufacturer discounts on certain drugs). Further, the IRA created a mechanism for CMS to collect rebates from manufacturers if price increases outpace inflation. Rebate obligations began to accrue October 1, 2022 for Medicare Part D and January 1, 2023 for Medicare Part B, but CMS has not yet issued invoices and has some discretion as to when to issue such invoices to manufacturers. We expect that several of our products will be subject to these inflation rebates, and several of our products have been on lists that are issued and updated on a quarterly basis by CMS under a related program under which Medicare beneficiaries are charged reduced coinsurance if price increases exceed inflation. The IRA’s drug pricing controls and Medicare redesign are likely to have a material adverse effect on our sales, our business and our results of operations, and such impact is expected to increase through the end of the decade and will depend on factors including the extent of our portfolio’s exposure to Medicare reimbursement, the rate of inflation over time, the number of our products selected for mandatory price setting and the timing of market entry of generic or biosimilar competition. Further, following the passage of the IRA, the environment remains dynamic and U.S. policymakers continue to demonstrate interest in health care and drug pricing changes. For example, in April 2024, CMS finalized policy changes that will give Part D plans more flexibility to substitute biosimilars for reference products on formularies in 2025. In early 2023, the HHS selected new healthcare payment and delivery models for testing, in response to an October 2022 Executive Order on Lowering Prescription Drug Costs for Americans, including the Accelerating Clinical Evidence Model, which could introduce new payment methods that reduce reimbursement for drugs approved under accelerated approval. That Executive Order followed a 2021 Executive Order designed to increase competition in the healthcare sector, including by calling for the FDA to work with states that seek to develop prescription drug importation programs and the FTC to apply greater scrutiny of anticompetitive activity and responses to which include actions from the HHS (which released a report with drug pricing proposals that seek to promote competition) and from the U.S. Patent and Trademark Office (which has taken steps to strengthen coordination with the FDA to address perceived impediments to generic drug and biosimilar competition). Other CMS policy changes and demonstration projects to test new care, delivery and payment models can also significantly affect how drugs, including our products, are covered and reimbursed. In the fourth quarter of 2021, HHS released a plan to address drug pricing that included potential future mandatory models that link payment for prescription drugs and biologics to certain factors, including the overall cost of care. In March 2024, the Administration released its budget plan for fiscal year 2025 that included proposals to expand the number of drugs subject to mandatory Medicare price setting under the IRA, imposing such price setting activity earlier, and extending to commercial health insurance the requirement that drug manufacturers pay rebates if price increases outpace inflation. While those proposed expansions of the IRA’s drug pricing controls have not been enacted, the proposals demonstrate that this area continues to be a focus of the Administration.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also face risks related to the reporting of pricing data that affects reimbursement of and discounts provided for our products. U.S. government price reporting regulations are complex and may require biopharmaceutical manufacturers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may be required to pay additional rebates and provide additional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1" w:name="page52"/>
    <w:bookmarkEnd w:id="51"/>
    <w:p>
      <w:pPr>
        <w:jc w:val="both"/>
        <w:ind w:firstLine="392"/>
        <w:spacing w:after="0" w:line="272" w:lineRule="auto"/>
        <w:rPr>
          <w:sz w:val="20"/>
          <w:szCs w:val="20"/>
          <w:color w:val="auto"/>
        </w:rPr>
      </w:pPr>
      <w:r>
        <w:rPr>
          <w:rFonts w:ascii="Times New Roman" w:cs="Times New Roman" w:eastAsia="Times New Roman" w:hAnsi="Times New Roman"/>
          <w:sz w:val="18"/>
          <w:szCs w:val="18"/>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87"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At the state level, legislation, government actions, and ballot initiatives can also affect how our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PDABs, drug importation programs, reference pricing schemes, and other pricing actions, including proposals designed to require biopharmaceutical manufacturers to report to the state proprietary pricing information or provide advance notice of certain price increases.</w:t>
      </w:r>
    </w:p>
    <w:p>
      <w:pPr>
        <w:spacing w:after="0" w:line="122"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States are also enacting laws referencing the IRA and seeking to regulate the 340B Drug Pricing Program. For example, following the passage of the IRA, bills have been proposed in multiple states that would apply the drug price caps set by HHS for Medicare to drug prices in an individual state, and such references to IRA price caps have also been included in PDAB legislation. For Medicaid patients, states have established a Medicaid drug spending cap (New York) and implemented a new review and supplemental rebate negotiation process (Massachusetts). Eight states (Colorado, Maine, New Hampshire, New Jersey, Maryland, Minnesota, Oregon and Washington) have enacted laws that establish PDABs to identify drugs that pose affordability challenges, and four such states include authority for the state PDAB to set upper payment limits on certain drugs for in-state patients, payers and providers. In 2024, no fewer than 17 states introduced PDAB legislation. The eight states with enacted PDAB laws are in various phases of implementation, with Colorado’s PDAB being the furthest along. In August 2023, the Colorado PDAB announced the first five drugs to undergo an affordability review, three of which, including ENBREL, have since been deemed “unaffordable” and will be subject to rulemaking to establish an Upper Payment Limit (UPL). For ENBREL, a UPL could be effective as soon as the third quarter of 2025. Further, Louisiana, Arkansas, West Virginia, Minnesota, Kansas, Mississippi, Missouri and Maryland have enacted laws with mandates on manufacturers participating in the 340B drug pricing program, and, thus far in 2024, no fewer than 25 states have considered similar legislation. These bills vary, but include provisions on restricting a manufacturer’s ability to direct drugs in 340B channels, recognizing 340B contract pharmacies and a prohibition on requiring the inclusion of 340B claims modifiers. In March 2024, the U.S. Court of Appeals for the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Circuit ruled that Arkansas’ Act 1103, which prohibits drugmakers from restricting the acquisition or delivery of 340B drugs to covered entities and their contract pharmacies, was not preempted by the federal 340B statute. The decision could increase the number of states that will consider similar legislation. In July 2024, the U.S. District Court for the Southern District of Mississippi denied motions for a preliminary injunction in two cases challenging a similar law in Mississippi, finding that neither plaintiff had demonstrated a substantial likelihood of success on the merits. These orders are being appealed at the U.S. Court of Appeals for the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Circuit. In September 2024, the U.S. District Court for the Western District of Louisiana dismissed a lawsuit challenging Louisiana’s 340B contract pharmacy mandate law, and the U.S. District Court for the District of Maryland denied a motion for preliminary injunction challenging a similar law in Maryland. These lawsuits challenging states on their 340B contract pharmacy laws are subsequent to </w:t>
      </w:r>
      <w:r>
        <w:rPr>
          <w:rFonts w:ascii="Times New Roman" w:cs="Times New Roman" w:eastAsia="Times New Roman" w:hAnsi="Times New Roman"/>
          <w:sz w:val="18"/>
          <w:szCs w:val="18"/>
          <w:i w:val="1"/>
          <w:iCs w:val="1"/>
          <w:color w:val="auto"/>
        </w:rPr>
        <w:t>Genesis Health Care, Inc. v. Becerra</w:t>
      </w:r>
      <w:r>
        <w:rPr>
          <w:rFonts w:ascii="Times New Roman" w:cs="Times New Roman" w:eastAsia="Times New Roman" w:hAnsi="Times New Roman"/>
          <w:sz w:val="18"/>
          <w:szCs w:val="18"/>
          <w:color w:val="auto"/>
        </w:rPr>
        <w:t>, where the U.S. District Court for the District of South Carolina issued an order in November 2023 that enjoins the Health Resources and Services Administration from enforcing its more restrictive interpretation of what is considered a patient under the 340B program, to the potential benefit of healthcare systems seeking to expand the application of 340B discounts.</w:t>
      </w:r>
    </w:p>
    <w:p>
      <w:pPr>
        <w:spacing w:after="0" w:line="1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Additionally, on January 5, 2024, the FDA authorized Florida to move forward with its importation program proposal. Colorado, Maine, New Hampshire, New Mexico, Texas and Vermont have also enacted state importation laws, and some have submitted plans for approval to the FDA. Other states could adopt similar approaches or could pursue different policy changes in a continuing effort to reduce their costs.</w:t>
      </w:r>
    </w:p>
    <w:p>
      <w:pPr>
        <w:spacing w:after="0" w:line="100"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18"/>
          <w:szCs w:val="18"/>
          <w:color w:val="auto"/>
        </w:rPr>
        <w:t>Ultimately, as with U.S. federal government actions, existing or future state government actions or ballot initiatives may also have a material adverse effect on our product sales, business and results of operations.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 commercial payer actions have affected and may continue to affect access to and sales of our products</w:t>
      </w:r>
    </w:p>
    <w:p>
      <w:pPr>
        <w:spacing w:after="0" w:line="15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Payers, including healthcare insurers, PBMs, integrated healthcare delivery systems (vertically-integrated organizations built from consolidations of healthcare insurers and PBMs) and group purchasing organizations, increasingly seek ways to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For example, CMS finalized a policy for plan years starting on or after January 1, 2021 that has caused commercial payers to more widely adopt co-pay accumulator adjustment programs. While the U.S. District Court for the District of Columbia struck down this policy in September 2023 and further clarified in December 2023 that its ruling had the effect of reinstating the co-pay accumulator adjustment policy from 2020, CMS and HHS have signaled that they do not intend to enforce certain restrictions from the 2020 policy that would reduce the adoption of co-pay accumulator adjustment programs, and CMS has indicated that the issue will be addressed in future rulemaking. Payers, including PBMs, have sought, and continue to seek, price discounts or rebates in connection with the</w:t>
      </w:r>
    </w:p>
    <w:p>
      <w:pPr>
        <w:spacing w:after="0" w:line="200" w:lineRule="exact"/>
        <w:rPr>
          <w:sz w:val="20"/>
          <w:szCs w:val="20"/>
          <w:color w:val="auto"/>
        </w:rPr>
      </w:pPr>
    </w:p>
    <w:p>
      <w:pPr>
        <w:spacing w:after="0" w:line="3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6"/>
          <w:szCs w:val="16"/>
          <w:color w:val="auto"/>
        </w:rPr>
        <w:t>placement of our products on their formularies or those they manage, and to also impose restrictions on access to or usage of our products (such as Step Therapy), require that patients receive the payer’s prior authorization before covering the product, and/or chosen to exclude certain indications for which our products are approved. For example, some payers require physicians to demonstrate or document that the patients for whom Repatha has been prescribed meet their utilization criteria, and these requirements have served to limit and may continue to limit patient access to Repatha treatment. In an effort to reduce barriers to access, we reduced the net price of Repatha by providing greater discounts and rebates to payers (including PBMs that administer Medicare Part D prescription drug plans), and in response to a very high percentage of Medicare patients abandoning their Repatha prescriptions rather than paying their co-pay, we introduced a set of new National Drug Codes to make Repatha available at a lower list price. However, affordability of patient out-of-pocket co-pay cost has limited and may continue to limit patient use. Further, despite these net and list price reductions, some payers have restricted, and may continue to restrict, patient access and may seek further discounts or rebates or take other actions, such as changing formulary coverage for Repatha, that could reduce our sales of Repatha. These factors have limited, and may continue to limit, patient affordability and use, negatively affecting Repatha sales.</w:t>
      </w:r>
    </w:p>
    <w:p>
      <w:pPr>
        <w:spacing w:after="0" w:line="296"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6"/>
          <w:szCs w:val="16"/>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as of the beginning of 2024, the top five integrated health plans and PBMs controlled about 92% of all pharmacy prescriptions. This high degree of consolidation among insurers, PBMs and other payers, including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from our business. Each of CVS, Express Scripts and United Health Group (among the top five integrated health plans and PBMs) have Rebate Management Organizations that further increase their leverage to negotiate deeper discounts. Ultimately, additional discounts, rebates, fees, coverage changes, plan changes, restrictions or exclusions imposed by these commercial payers could have a material adverse effect on our product sales, business and results of operations. Policy reforms advanced by Congress or the Administration that refine the role of PBMs in the U.S. marketplace could have downstream implications or consequences for our business and how we interact with these entities. For example, in June 2022, the FTC launched an inquiry into the business practices of PBMs and subsequently expanded the investigation to the three rebate management organizations owned by the three largest PBMs, and in September 2024, the FTC brought action against the three largest PBMs alleging anticompetitive and unfair rebating practices. In addition, multiple Congressional Committees are investigating PBM practices and have also proposed legislation that could increase transparency and reporting of these practices and/or impact rebates and service fees. The results of such inquiries could have an effect on manufacturer interactions with PBMs, resulting in changes to access for certain medicines. See our Annual Report on Form 10-K for the year ended December 31, 2023, Part I, Item 1A. Risk Factors</w:t>
      </w:r>
      <w:r>
        <w:rPr>
          <w:rFonts w:ascii="Times New Roman" w:cs="Times New Roman" w:eastAsia="Times New Roman" w:hAnsi="Times New Roman"/>
          <w:sz w:val="16"/>
          <w:szCs w:val="16"/>
          <w:i w:val="1"/>
          <w:iCs w:val="1"/>
          <w:color w:val="auto"/>
        </w:rPr>
        <w:t>—Concentration of sales at certain of our wholesaler distributors, and consolidation of private payers,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 insurers, and PBMs has negatively affected, and may continue to negatively affect, our business.</w:t>
      </w:r>
    </w:p>
    <w:p>
      <w:pPr>
        <w:spacing w:after="0" w:line="31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business is also affected by policies implemented by private healthcare entities that process Medicare claims, including Medicare Administrative Contractors. For example, in the second quarter of 2022, several Medicare Administrative Contractors issued notice that TEZSPIRE would be added to their “self-administered drug” exclusion lists. Although the Medicare Administrative Contractors subsequently removed TEZSPIRE from their exclusion lists, these exclusions, if reintroduced and/or implemented, would result in Medicare beneficiaries with severe asthma losing access to TEZSPIRE coverage under Medicare Part B and potentially also under Medicare Advantage.</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—Government and commercial payer actions outside the United States have affected and will continue to affect access to and sales of our products</w:t>
      </w:r>
    </w:p>
    <w:p>
      <w:pPr>
        <w:spacing w:after="0" w:line="138"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8"/>
          <w:szCs w:val="18"/>
          <w:color w:val="auto"/>
        </w:rPr>
        <w:t>Outside the United States, we expect countries will also continue to take actions to reduce their drug expenditures and to reduce intellectual property protections. See Part I, Item 1. Business—Reimbursement, of our Annual Report on Form 10-K for the year ended December 31, 2023. Pressures to decrease drug expenditures may intensify as governments take actions to address budgets strained by high inflation, expenditures to respond to the COVID-19 pandemic and weak economic conditions, including in Europe where the effects of the Russia–Ukraine conflict have challenged the economies in that region. Further, the EU is currently undergoing a review and revision of its pharmaceutical legislation that, while full implementation is not expected before 2027, has led to proposals that would reduce intellectual property protection for new products (including potentially shortening the duration of regulatory data exclusivity and orphan drug exclusivity protections), as well as change the reimbursement and regulatory landscape. International reference pricing has been widely used by many countries outside the United States to control costs based on an external benchmark of a product’s price in other countries. International reference pricing policies can change quickly and frequently and may not reflect differences in the burden of disease, indications, market structures or affordability differences across countries or regions. Other expenditure control practices, including but not limited to the use of revenue clawbacks, rebates and caps on product sales, are used in various foreign jurisdictions as well. In addition, countries may refuse to reimburse or may restrict the reimbursed population for a product when their national health technology</w:t>
      </w:r>
    </w:p>
    <w:p>
      <w:pPr>
        <w:spacing w:after="0" w:line="200" w:lineRule="exact"/>
        <w:rPr>
          <w:sz w:val="20"/>
          <w:szCs w:val="20"/>
          <w:color w:val="auto"/>
        </w:rPr>
      </w:pPr>
    </w:p>
    <w:p>
      <w:pPr>
        <w:spacing w:after="0" w:line="3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3" w:name="page54"/>
    <w:bookmarkEnd w:id="53"/>
    <w:p>
      <w:pPr>
        <w:jc w:val="both"/>
        <w:spacing w:after="0" w:line="247" w:lineRule="auto"/>
        <w:rPr>
          <w:sz w:val="20"/>
          <w:szCs w:val="20"/>
          <w:color w:val="auto"/>
        </w:rPr>
      </w:pPr>
      <w:r>
        <w:rPr>
          <w:rFonts w:ascii="Times New Roman" w:cs="Times New Roman" w:eastAsia="Times New Roman" w:hAnsi="Times New Roman"/>
          <w:sz w:val="18"/>
          <w:szCs w:val="18"/>
          <w:color w:val="auto"/>
        </w:rPr>
        <w:t>assessments do not consider a medicine to demonstrate sufficient clinical benefit beyond existing therapies or to meet certain cost effectiveness thresholds. For example, despite the EMA’s approval of Repatha for the treatment of patients with established atherosclerotic disease, prior to 2020, the reimbursement of Repatha in France was limited to a narrower patient population (such as those with homozygous familial hypercholesterolemia (HoFH)) following a national health technology assessment. Many countries decide on reimbursement between potentially competing products through national or regional tenders that often result in one product receiving most or all of the sales in that country or region. Failure to obtain coverage and reimbursement for our products, a deterioration in their existing coverage and reimbursement or a decline in the timeliness or certainty of payment by payers to hospitals and other providers has negatively affected, and may further negatively affect, the ability or willingness of healthcare providers to prescribe our products for their patients and otherwise negatively affect the use of our products or the prices we realize for them. Such changes have had, and could in the future have, a material adverse effect on our product sales, business and results of operations.</w:t>
      </w:r>
    </w:p>
    <w:p>
      <w:pPr>
        <w:spacing w:after="0" w:line="112"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i w:val="1"/>
          <w:iCs w:val="1"/>
          <w:color w:val="auto"/>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spacing w:after="0" w:line="11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To achieve our business objectives, we rely on sophisticated information technology systems, including hardware, software, technology infrastructure, online sites and networks for both internal and external operations,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spacing w:after="0" w:line="116" w:lineRule="exact"/>
        <w:rPr>
          <w:sz w:val="20"/>
          <w:szCs w:val="20"/>
          <w:color w:val="auto"/>
        </w:rPr>
      </w:pPr>
    </w:p>
    <w:p>
      <w:pPr>
        <w:jc w:val="both"/>
        <w:ind w:firstLine="396"/>
        <w:spacing w:after="0" w:line="278" w:lineRule="auto"/>
        <w:rPr>
          <w:sz w:val="20"/>
          <w:szCs w:val="20"/>
          <w:color w:val="auto"/>
        </w:rPr>
      </w:pPr>
      <w:r>
        <w:rPr>
          <w:rFonts w:ascii="Times New Roman" w:cs="Times New Roman" w:eastAsia="Times New Roman" w:hAnsi="Times New Roman"/>
          <w:sz w:val="16"/>
          <w:szCs w:val="16"/>
          <w:color w:val="auto"/>
        </w:rPr>
        <w:t>Our information technology systems are highly integrated into our business, including our R&amp;D efforts, our clinical and commercial manufacturing processes and our product sales and distribution processes. Further, as the majority of our employees work remotely for some portion of their jobs in our hybrid work environment, our reliance on our and third-party information technology systems has increased substantially and is expected to continue to increase. Remote and hybrid working arrangements, including those of many third-party providers,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For example, in July 2024, businesses worldwide were affected by an information technology outage due to a faulty software update issued by a cybersecurity firm. Although our systems and operations were temporarily affected by the outage, the impact of this firm’s faulty update on the Company was immaterial to our business operations. However, there can be no assurance that a future similar incident would not result in a material adverse effect on our business or results of operations. Upgrades or changes to our systems or the software that we use have resulted and we expect, in the future, will result in the introduction of new cybersecurity vulnerabilities and risks. In 2022, we identified a number of security vulnerabilities introduced into our information systems as a result of flaws that we subsequently identified in software that we had purchased and installed, and these flaws required that we apply emergency patches to certain of our systems. While we did not experience any significant adverse effects as a result of these vulnerabilities, there can be no assurance that we will timely identify and address future vulnerabilities. Our systems are also subject to frequent perimeter network reconnaissance and scanning, phishing and other cyberattacks. For example, as a result of our cybersecurity monitoring of the Horizon legacy information systems, we detected phishing activity in the accounts of two Horizon executives. These accounts were de-activated, the incidents were investigated and the determination was made separately by both our internal cybersecurity team and our external digital forensics and incident response supplier that no confidential information had been exfiltrated. As the cyber-threat landscape evolves, these attacks are growing in frequency, sophistication, and intensity, and are becoming increasingly difficult to detect and increasingly sophisticated in using techniques and tools—including artificial intelligence—that circumvent security controls, evade detection and remove forensic evidence. Such attacks could include the use of harmful and virulent malware, including ransomware or other denials of service, which can be deployed through various means, including the software supply chain, e-mail, malicious websites and/or the use of social engineering/phishing.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4" w:name="page55"/>
    <w:bookmarkEnd w:id="54"/>
    <w:p>
      <w:pPr>
        <w:jc w:val="both"/>
        <w:ind w:firstLine="396"/>
        <w:spacing w:after="0" w:line="246" w:lineRule="auto"/>
        <w:rPr>
          <w:sz w:val="20"/>
          <w:szCs w:val="20"/>
          <w:color w:val="auto"/>
        </w:rPr>
      </w:pPr>
      <w:r>
        <w:rPr>
          <w:rFonts w:ascii="Times New Roman" w:cs="Times New Roman" w:eastAsia="Times New Roman" w:hAnsi="Times New Roman"/>
          <w:sz w:val="18"/>
          <w:szCs w:val="18"/>
          <w:color w:val="auto"/>
        </w:rPr>
        <w:t>We have also experienced denial of service attacks against our network, and, although such attacks did not succeed, there can be no assurance that our efforts to guard against the wide and growing variety of potential attack techniques will be successful in the future. Attacks such as those experienced by government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 attackers to access Okta’s internal network. Although this breach did not have a significant effect on our business, there can be no assurance that a similar future breach would not result in a material adverse effect on our business or results of operations.</w:t>
      </w:r>
    </w:p>
    <w:p>
      <w:pPr>
        <w:spacing w:after="0" w:line="117" w:lineRule="exact"/>
        <w:rPr>
          <w:sz w:val="20"/>
          <w:szCs w:val="20"/>
          <w:color w:val="auto"/>
        </w:rPr>
      </w:pPr>
    </w:p>
    <w:p>
      <w:pPr>
        <w:jc w:val="both"/>
        <w:ind w:firstLine="396"/>
        <w:spacing w:after="0" w:line="277" w:lineRule="auto"/>
        <w:rPr>
          <w:sz w:val="20"/>
          <w:szCs w:val="20"/>
          <w:color w:val="auto"/>
        </w:rPr>
      </w:pPr>
      <w:r>
        <w:rPr>
          <w:rFonts w:ascii="Times New Roman" w:cs="Times New Roman" w:eastAsia="Times New Roman" w:hAnsi="Times New Roman"/>
          <w:sz w:val="16"/>
          <w:szCs w:val="16"/>
          <w:color w:val="auto"/>
        </w:rPr>
        <w:t>Our systems also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utilize third-party service providers to collect, process, store, manage or transmit such data, which have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Malicious actors, including those working under state-sponsored campaigns, have sought employment, often in remote information technology roles, as a means to gain inside access at targeted companies. In the third quarter of 2024, an individual used fraudulent identification in connection with their hiring by the Company. While the individual was detected and terminated before any data was extracted or malware installed, there can be no assurance that future attempts by similar actors will be unsuccessful. System vulnerabilities and/or cybersecurity breaches experienced by our third-party service providers have constituted a substantial share of the information security risks that have affected us. For example, in the first half of 2021, a supplier experienced a data breach in which an unauthorized third party acquired access to certain information provided to the supplier in the course of its provision of services to us, including business documents and certain personally identifiable patient information (not including social security or other financial or health insurance information). As required, we promptly notified the applicable state attorneys general and the individuals whose personally identifiable information was affected of this data breach at the supplier. In the third quarter of 2022, another service provider experienced a similar cybersecurity breach in which an attacker exfiltrated certain data (including non-significant Amgen data) from the service provider’s systems. Additionally, in April 2024, one of our former vendors notified us that its subsidiary that had provided us with certain patient support services until mid-2022, experienced a cybersecurity incident that it discovered in February 2024 and that data containing individually identifiable health information of over 1.7 million Amgen patients (that was retained as required by FDA regulations) was involved in the incident. Pursuant to the Health Breach Notification Rule requirements, we notified the FTC of this incident. Although these supplier data breaches have not resulted in material adverse effects on our business, there can be no assurance that a similar future cybersecurity incident would not result in a material adverse effect on our business or results of operations. Further, the timeliness of our awareness of a cybersecurity incident affects our ability to respond to and work to mitigate the severity of such events. For example, in 2020 and 2022, two of our vendors experienced cyberattacks and each initially reported to us that neither event involved our data. However, upon further investigation, they each subsequently informed us that the attackers had accessed limited, non-significant Amgen information. Although neither of these breaches had a significant adverse effect on our business, in the future we may again not receive timely reporting of cybersecurity events and such events could have a material adverse effect on our business.</w:t>
      </w:r>
    </w:p>
    <w:p>
      <w:pPr>
        <w:spacing w:after="0" w:line="200" w:lineRule="exact"/>
        <w:rPr>
          <w:sz w:val="20"/>
          <w:szCs w:val="20"/>
          <w:color w:val="auto"/>
        </w:rPr>
      </w:pPr>
    </w:p>
    <w:p>
      <w:pPr>
        <w:spacing w:after="0" w:line="335"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For example, in December 2021, a remote code execution vulnerability was discovered in a software library that is widely used in a variety of commercially available software and services. Although this vulnerability has not resulted in any significant adverse effects on us, there can be no assurances that a similar future vulnerability in the software and services that we use would not result in a material adverse effect on our business or results of operations.</w:t>
      </w:r>
    </w:p>
    <w:p>
      <w:pPr>
        <w:spacing w:after="0" w:line="200" w:lineRule="exact"/>
        <w:rPr>
          <w:sz w:val="20"/>
          <w:szCs w:val="20"/>
          <w:color w:val="auto"/>
        </w:rPr>
      </w:pPr>
    </w:p>
    <w:p>
      <w:pPr>
        <w:spacing w:after="0" w:line="31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5" w:name="page56"/>
    <w:bookmarkEnd w:id="55"/>
    <w:p>
      <w:pPr>
        <w:jc w:val="both"/>
        <w:ind w:firstLine="396"/>
        <w:spacing w:after="0" w:line="246" w:lineRule="auto"/>
        <w:rPr>
          <w:sz w:val="20"/>
          <w:szCs w:val="20"/>
          <w:color w:val="auto"/>
        </w:rPr>
      </w:pPr>
      <w:r>
        <w:rPr>
          <w:rFonts w:ascii="Times New Roman" w:cs="Times New Roman" w:eastAsia="Times New Roman" w:hAnsi="Times New Roman"/>
          <w:sz w:val="18"/>
          <w:szCs w:val="18"/>
          <w:color w:val="auto"/>
        </w:rPr>
        <w:t>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For example, in 2019, two vendors that perform testing and analytical services that we use in developing and manufacturing our products experienced cyberattacks, and in April and September of 2020, vendors that provide us with information technology services and clinical data services, respectively, each experienced ransomware attacks. Although there was no breach of our systems, each of these incidents required us to disconnect our systems from those vendors’ systems. While we were able to reconnect our systems following restoration of these vendors’ capabilities without significantly affecting product availability, a more extended service outage affecting these or other vendors, particularly where such vendor is the single source from which we obtain the services, could have a material adverse effect on our business or results of operations. In February 2024, Change Healthcare, a large U.S. insurance claim and co-pay card processing clearinghouse, experienced a ransomware attack that has caused significant disruptions to healthcare provider and pharmacy operations. While Change Healthcare does not directly provide us with services, disruptions to co-pay card support, insurance billing and Medicaid rebate processing led to lost sales and required us to take action to help patients access their medications and to provide extended payment terms to certain customers. Although services have been rerouted and restored, and the impact on our business has been immaterial, similar disruptions may occur in the future stemming from the interconnectedness of the U.S. healthcare ecosystem and industry reliance on centralized claims processing systems and networks, and such future disruptions may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fully implemented, complied with or effective in protecting our information technology systems and sensitive data.</w:t>
      </w:r>
    </w:p>
    <w:p>
      <w:pPr>
        <w:spacing w:after="0" w:line="11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Although we have experienced system breakdowns, attacks and information security breaches, we do not believe such breakdowns, attacks and breaches have had a material adverse effect on our business or results of operations. We will continue to experience varying degrees of cyberattacks and other incidents in the future. Even though we continue to invest in the monitoring, protection and resilience of our critical and/or sensitive data and systems,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spacing w:after="0" w:line="122"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8"/>
          <w:szCs w:val="18"/>
          <w:color w:val="auto"/>
        </w:rPr>
        <w:t>We are also subject to various laws and regulations globally regarding cybersecurity,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EU’s General Data Protection Regulation (GDPR), which became effective in May 2018, and the California Consumer Privacy Act (CCPA), which became effective in January 2020, both of which provide for substantial penalties for noncompliance. The CCPA was amended in late 2020, to create the California Privacy Rights Act to create opt in requirements for the use of sensitive personal data and the formation of a new dedicated agency for the enforcement of the law, the California Privacy Protection Agency. Similar consumer privacy laws went into effect in nine other states, have been enacted (but not yet in effect) in in 11 other states, and have been proposed in six additional states. Outside the United States, other jurisdictions where we operate have passed, or continue to propose, data privacy or cybersecurity legislation and/or regulations. For example, in China, the Personal Information Protection Law and the Data Security Law, which regulate data processing activities associated with personal and nonpersonal data, are in effect and build upon the existing Cybersecurity Law. Further, in March 2024, the European Parliament adopted the Artificial Intelligence Act that provides for EU-wide rules on data quality, transparency, human oversight and accountability with respect to the use of artificial intelligence. In April 2024, the EU also revised its Cybersecurity Directive NIS2 rules that create new cybersecurity risk management and reporting obligations. Failure to comply with these current and future laws could result in significant penalties and reputational harm and could have a material adverse effect on our business and results of operations.</w:t>
      </w:r>
    </w:p>
    <w:p>
      <w:pPr>
        <w:spacing w:after="0" w:line="200" w:lineRule="exact"/>
        <w:rPr>
          <w:sz w:val="20"/>
          <w:szCs w:val="20"/>
          <w:color w:val="auto"/>
        </w:rPr>
      </w:pPr>
    </w:p>
    <w:p>
      <w:pPr>
        <w:spacing w:after="0" w:line="32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6" w:name="page57"/>
    <w:bookmarkEnd w:id="56"/>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September 30, 2024, we had one outstanding stock repurchase program, under which we had no repurchase activity.</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3380" w:type="dxa"/>
            <w:vAlign w:val="bottom"/>
            <w:vMerge w:val="restart"/>
          </w:tcPr>
          <w:p>
            <w:pPr>
              <w:jc w:val="center"/>
              <w:ind w:left="1350"/>
              <w:spacing w:after="0"/>
              <w:rPr>
                <w:sz w:val="20"/>
                <w:szCs w:val="20"/>
                <w:color w:val="auto"/>
              </w:rPr>
            </w:pPr>
            <w:r>
              <w:rPr>
                <w:rFonts w:ascii="Times New Roman" w:cs="Times New Roman" w:eastAsia="Times New Roman" w:hAnsi="Times New Roman"/>
                <w:sz w:val="14"/>
                <w:szCs w:val="14"/>
                <w:b w:val="1"/>
                <w:bCs w:val="1"/>
                <w:color w:val="auto"/>
                <w:w w:val="96"/>
              </w:rPr>
              <w:t>Total number</w:t>
            </w:r>
          </w:p>
        </w:tc>
        <w:tc>
          <w:tcPr>
            <w:tcW w:w="1640" w:type="dxa"/>
            <w:vAlign w:val="bottom"/>
            <w:vMerge w:val="restart"/>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2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480" w:type="dxa"/>
            <w:vAlign w:val="bottom"/>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5"/>
        </w:trPr>
        <w:tc>
          <w:tcPr>
            <w:tcW w:w="240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2020" w:type="dxa"/>
            <w:vAlign w:val="bottom"/>
          </w:tcPr>
          <w:p>
            <w:pPr>
              <w:jc w:val="center"/>
              <w:ind w:left="5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purchased</w:t>
            </w:r>
          </w:p>
        </w:tc>
        <w:tc>
          <w:tcPr>
            <w:tcW w:w="1480" w:type="dxa"/>
            <w:vAlign w:val="bottom"/>
          </w:tcPr>
          <w:p>
            <w:pPr>
              <w:jc w:val="center"/>
              <w:ind w:left="270"/>
              <w:spacing w:after="0" w:line="145" w:lineRule="exact"/>
              <w:rPr>
                <w:sz w:val="20"/>
                <w:szCs w:val="20"/>
                <w:color w:val="auto"/>
              </w:rPr>
            </w:pPr>
            <w:r>
              <w:rPr>
                <w:rFonts w:ascii="Times New Roman" w:cs="Times New Roman" w:eastAsia="Times New Roman" w:hAnsi="Times New Roman"/>
                <w:sz w:val="14"/>
                <w:szCs w:val="14"/>
                <w:b w:val="1"/>
                <w:bCs w:val="1"/>
                <w:color w:val="auto"/>
              </w:rPr>
              <w:t>value that may</w:t>
            </w:r>
          </w:p>
        </w:tc>
        <w:tc>
          <w:tcPr>
            <w:tcW w:w="0" w:type="dxa"/>
            <w:vAlign w:val="bottom"/>
          </w:tcPr>
          <w:p>
            <w:pPr>
              <w:spacing w:after="0"/>
              <w:rPr>
                <w:sz w:val="1"/>
                <w:szCs w:val="1"/>
                <w:color w:val="auto"/>
              </w:rPr>
            </w:pPr>
          </w:p>
        </w:tc>
      </w:tr>
      <w:tr>
        <w:trPr>
          <w:trHeight w:val="134"/>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80" w:type="dxa"/>
            <w:vAlign w:val="bottom"/>
          </w:tcPr>
          <w:p>
            <w:pPr>
              <w:jc w:val="center"/>
              <w:ind w:left="1350"/>
              <w:spacing w:after="0" w:line="134"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640" w:type="dxa"/>
            <w:vAlign w:val="bottom"/>
          </w:tcPr>
          <w:p>
            <w:pPr>
              <w:jc w:val="center"/>
              <w:ind w:left="10"/>
              <w:spacing w:after="0" w:line="134" w:lineRule="exact"/>
              <w:rPr>
                <w:sz w:val="20"/>
                <w:szCs w:val="20"/>
                <w:color w:val="auto"/>
              </w:rPr>
            </w:pPr>
            <w:r>
              <w:rPr>
                <w:rFonts w:ascii="Times New Roman" w:cs="Times New Roman" w:eastAsia="Times New Roman" w:hAnsi="Times New Roman"/>
                <w:sz w:val="14"/>
                <w:szCs w:val="14"/>
                <w:b w:val="1"/>
                <w:bCs w:val="1"/>
                <w:color w:val="auto"/>
                <w:w w:val="99"/>
              </w:rPr>
              <w:t>price paid</w:t>
            </w:r>
          </w:p>
        </w:tc>
        <w:tc>
          <w:tcPr>
            <w:tcW w:w="2020" w:type="dxa"/>
            <w:vAlign w:val="bottom"/>
          </w:tcPr>
          <w:p>
            <w:pPr>
              <w:jc w:val="center"/>
              <w:ind w:left="50"/>
              <w:spacing w:after="0" w:line="134"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80" w:type="dxa"/>
            <w:vAlign w:val="bottom"/>
          </w:tcPr>
          <w:p>
            <w:pPr>
              <w:jc w:val="center"/>
              <w:ind w:left="270"/>
              <w:spacing w:after="0" w:line="134"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85"/>
        </w:trPr>
        <w:tc>
          <w:tcPr>
            <w:tcW w:w="2400" w:type="dxa"/>
            <w:vAlign w:val="bottom"/>
            <w:vMerge w:val="continue"/>
          </w:tcPr>
          <w:p>
            <w:pPr>
              <w:spacing w:after="0"/>
              <w:rPr>
                <w:sz w:val="16"/>
                <w:szCs w:val="16"/>
                <w:color w:val="auto"/>
              </w:rPr>
            </w:pPr>
          </w:p>
        </w:tc>
        <w:tc>
          <w:tcPr>
            <w:tcW w:w="3380" w:type="dxa"/>
            <w:vAlign w:val="bottom"/>
          </w:tcPr>
          <w:p>
            <w:pPr>
              <w:jc w:val="center"/>
              <w:ind w:left="135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202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480" w:type="dxa"/>
            <w:vAlign w:val="bottom"/>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w w:val="99"/>
              </w:rPr>
              <w:t>under the program</w:t>
            </w:r>
          </w:p>
        </w:tc>
        <w:tc>
          <w:tcPr>
            <w:tcW w:w="0" w:type="dxa"/>
            <w:vAlign w:val="bottom"/>
          </w:tcPr>
          <w:p>
            <w:pPr>
              <w:spacing w:after="0"/>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w:t>
            </w:r>
          </w:p>
        </w:tc>
        <w:tc>
          <w:tcPr>
            <w:tcW w:w="10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6,979,263,848</w:t>
            </w: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August 1–31</w:t>
            </w: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74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6,979,263,848</w:t>
            </w:r>
          </w:p>
        </w:tc>
        <w:tc>
          <w:tcPr>
            <w:tcW w:w="0" w:type="dxa"/>
            <w:vAlign w:val="bottom"/>
          </w:tcPr>
          <w:p>
            <w:pPr>
              <w:spacing w:after="0"/>
              <w:rPr>
                <w:sz w:val="1"/>
                <w:szCs w:val="1"/>
                <w:color w:val="auto"/>
              </w:rPr>
            </w:pPr>
          </w:p>
        </w:tc>
      </w:tr>
      <w:tr>
        <w:trPr>
          <w:trHeight w:val="76"/>
        </w:trPr>
        <w:tc>
          <w:tcPr>
            <w:tcW w:w="394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w:t>
            </w:r>
          </w:p>
        </w:tc>
        <w:tc>
          <w:tcPr>
            <w:tcW w:w="17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6,979,263,848</w:t>
            </w:r>
          </w:p>
        </w:tc>
        <w:tc>
          <w:tcPr>
            <w:tcW w:w="0" w:type="dxa"/>
            <w:vAlign w:val="bottom"/>
          </w:tcPr>
          <w:p>
            <w:pPr>
              <w:spacing w:after="0"/>
              <w:rPr>
                <w:sz w:val="1"/>
                <w:szCs w:val="1"/>
                <w:color w:val="auto"/>
              </w:rPr>
            </w:pPr>
          </w:p>
        </w:tc>
      </w:tr>
      <w:tr>
        <w:trPr>
          <w:trHeight w:val="21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240" w:hanging="234"/>
        <w:spacing w:after="0" w:line="288" w:lineRule="auto"/>
        <w:tabs>
          <w:tab w:leader="none" w:pos="253"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August 2024, the Company purchased 913 shares at an average price paid of $328.80 per share from a staff member to satisfy federal law compliance obligations. These shares were not repurchased under our stock repurchase program.</w:t>
      </w:r>
    </w:p>
    <w:p>
      <w:pPr>
        <w:spacing w:after="0" w:line="236"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51"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16a-1(f) of the Exchange Act) adopted or terminated any “Rule 10b5-1 trading arrangement” or “non-Rule 10b5-1 trading arrangement,” as each term is defined in Item 408 of Regulation S-K.</w:t>
      </w:r>
    </w:p>
    <w:p>
      <w:pPr>
        <w:spacing w:after="0" w:line="23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Reference is made to the Index to Exhibits included herein.</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57" w:name="page58"/>
    <w:bookmarkEnd w:id="57"/>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 No.</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w:t>
      </w:r>
    </w:p>
    <w:p>
      <w:pPr>
        <w:spacing w:after="0" w:line="20" w:lineRule="exact"/>
        <w:rPr>
          <w:sz w:val="20"/>
          <w:szCs w:val="20"/>
          <w:color w:val="auto"/>
        </w:rPr>
      </w:pPr>
      <w:r>
        <w:rPr>
          <w:sz w:val="20"/>
          <w:szCs w:val="20"/>
          <w:color w:val="auto"/>
        </w:rPr>
        <w:br w:type="column"/>
      </w:r>
    </w:p>
    <w:p>
      <w:pPr>
        <w:ind w:left="324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9" w:lineRule="exact"/>
        <w:rPr>
          <w:sz w:val="20"/>
          <w:szCs w:val="20"/>
          <w:color w:val="auto"/>
        </w:rPr>
      </w:pPr>
    </w:p>
    <w:p>
      <w:pPr>
        <w:jc w:val="both"/>
        <w:spacing w:after="0" w:line="238" w:lineRule="auto"/>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u w:val="single" w:color="auto"/>
            <w:color w:val="0000FF"/>
          </w:rPr>
          <w:t>Agreement and Plan of Merger, dated July 27, 2021, by and among Amgen Inc., Teneobio, Inc., Tuxedo Merger Sub, Inc., and Fortis</w:t>
        </w:r>
      </w:hyperlink>
      <w:r>
        <w:rPr>
          <w:rFonts w:ascii="Times New Roman" w:cs="Times New Roman" w:eastAsia="Times New Roman" w:hAnsi="Times New Roman"/>
          <w:sz w:val="16"/>
          <w:szCs w:val="16"/>
          <w:u w:val="single" w:color="auto"/>
          <w:color w:val="0000FF"/>
        </w:rPr>
        <w:t xml:space="preserve"> </w:t>
      </w:r>
      <w:hyperlink r:id="rId74">
        <w:r>
          <w:rPr>
            <w:rFonts w:ascii="Times New Roman" w:cs="Times New Roman" w:eastAsia="Times New Roman" w:hAnsi="Times New Roman"/>
            <w:sz w:val="16"/>
            <w:szCs w:val="16"/>
            <w:u w:val="single" w:color="auto"/>
            <w:color w:val="0000FF"/>
          </w:rPr>
          <w:t>Advisors LLC.</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(portions of the exhibit have been omitted because they are both (i) not material and (ii) is the type of information that the</w:t>
        </w:r>
      </w:hyperlink>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Company treats as private or confidential)(Filed as an exhibit to Form 10-Q for the quarter ended September 30, 2021 on November 3,</w:t>
      </w:r>
    </w:p>
    <w:p>
      <w:pPr>
        <w:spacing w:after="0"/>
        <w:rPr>
          <w:sz w:val="20"/>
          <w:szCs w:val="20"/>
          <w:color w:val="auto"/>
        </w:rPr>
      </w:pPr>
      <w:r>
        <w:rPr>
          <w:rFonts w:ascii="Times New Roman" w:cs="Times New Roman" w:eastAsia="Times New Roman" w:hAnsi="Times New Roman"/>
          <w:sz w:val="18"/>
          <w:szCs w:val="18"/>
          <w:color w:val="auto"/>
        </w:rPr>
        <w:t>2021 and incorporated herein by reference.)</w:t>
      </w:r>
    </w:p>
    <w:p>
      <w:pPr>
        <w:spacing w:after="0" w:line="182" w:lineRule="exact"/>
        <w:rPr>
          <w:sz w:val="20"/>
          <w:szCs w:val="20"/>
          <w:color w:val="auto"/>
        </w:rPr>
      </w:pPr>
    </w:p>
    <w:p>
      <w:pPr>
        <w:jc w:val="both"/>
        <w:ind w:right="20"/>
        <w:spacing w:after="0" w:line="231"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Agreement and Plan of Merger, dated as of August 3, 2022, among ChemoCentryx, Inc., Amgen Inc. and Carnation Merger Sub, Inc.</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an exhibit to Form 8-K on August 4, 2022 and incorporated herein by reference.)</w:t>
      </w:r>
    </w:p>
    <w:p>
      <w:pPr>
        <w:spacing w:after="0" w:line="195" w:lineRule="exact"/>
        <w:rPr>
          <w:sz w:val="20"/>
          <w:szCs w:val="20"/>
          <w:color w:val="auto"/>
        </w:rPr>
      </w:pPr>
    </w:p>
    <w:p>
      <w:pPr>
        <w:jc w:val="both"/>
        <w:ind w:right="20"/>
        <w:spacing w:after="0" w:line="231"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Transaction Agreement, dated as of December 11, 2022, by and among Amgen Inc., Pillartree Limited and Horizon Therapeutics plc.</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an exhibit to Form 8-K on December 12, 2022 and incorporated herein by reference.)</w:t>
      </w:r>
    </w:p>
    <w:p>
      <w:pPr>
        <w:spacing w:after="0" w:line="195" w:lineRule="exact"/>
        <w:rPr>
          <w:sz w:val="20"/>
          <w:szCs w:val="20"/>
          <w:color w:val="auto"/>
        </w:rPr>
      </w:pPr>
    </w:p>
    <w:p>
      <w:pPr>
        <w:jc w:val="both"/>
        <w:ind w:right="20"/>
        <w:spacing w:after="0" w:line="231" w:lineRule="auto"/>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u w:val="single" w:color="auto"/>
            <w:color w:val="0000FF"/>
          </w:rPr>
          <w:t>Appendix 3 to the Rule 2.7 Announcement, dated as of December 12, 2022 (Conditions Appendix).</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8-K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12, 2022 and incorporated herein by reference.)</w:t>
      </w:r>
    </w:p>
    <w:p>
      <w:pPr>
        <w:spacing w:after="0" w:line="208" w:lineRule="exact"/>
        <w:rPr>
          <w:sz w:val="20"/>
          <w:szCs w:val="20"/>
          <w:color w:val="auto"/>
        </w:rPr>
      </w:pPr>
    </w:p>
    <w:p>
      <w:pPr>
        <w:jc w:val="both"/>
        <w:ind w:right="20"/>
        <w:spacing w:after="0" w:line="269" w:lineRule="auto"/>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u w:val="single" w:color="auto"/>
            <w:color w:val="0000FF"/>
          </w:rPr>
          <w:t>Restated Certificate of Incorporation of Amgen Inc.</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Restated March 6, 2013.) (Filed as an exhibit to Form 10-Q for the quarter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ended March 31, 2013 on May 3, 2013 and incorporated herein by reference.)</w:t>
      </w:r>
    </w:p>
    <w:p>
      <w:pPr>
        <w:spacing w:after="0" w:line="195" w:lineRule="exact"/>
        <w:rPr>
          <w:sz w:val="20"/>
          <w:szCs w:val="20"/>
          <w:color w:val="auto"/>
        </w:rPr>
      </w:pPr>
    </w:p>
    <w:p>
      <w:pPr>
        <w:jc w:val="both"/>
        <w:ind w:right="20"/>
        <w:spacing w:after="0" w:line="269" w:lineRule="auto"/>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u w:val="single" w:color="auto"/>
            <w:color w:val="0000FF"/>
          </w:rPr>
          <w:t>Amended and Restated Bylaws of Amgen Inc.</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February 15, 2016.) (Filed as an exhibit to Form 8-K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February 17, 2016 and incorporated herein by reference.)</w:t>
      </w:r>
    </w:p>
    <w:p>
      <w:pPr>
        <w:spacing w:after="0" w:line="195" w:lineRule="exact"/>
        <w:rPr>
          <w:sz w:val="20"/>
          <w:szCs w:val="20"/>
          <w:color w:val="auto"/>
        </w:rPr>
      </w:pPr>
    </w:p>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u w:val="single" w:color="auto"/>
            <w:color w:val="0000FF"/>
          </w:rPr>
          <w:t>Form of stock certificate for the common stock, par value $.0001 of the Company.</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10-Q for the quarter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1997 on May 14, 1997 and incorporated herein by reference.)</w:t>
      </w:r>
    </w:p>
    <w:p>
      <w:pPr>
        <w:spacing w:after="0" w:line="14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Form of Indenture, dated January 1, 1992. (Filed as an exhibit to Form S-3 Registration Statement filed on December 19, 1991 and incorporated herein by reference.)</w:t>
      </w:r>
    </w:p>
    <w:p>
      <w:pPr>
        <w:spacing w:after="0" w:line="182" w:lineRule="exact"/>
        <w:rPr>
          <w:sz w:val="20"/>
          <w:szCs w:val="20"/>
          <w:color w:val="auto"/>
        </w:rPr>
      </w:pPr>
    </w:p>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u w:val="single" w:color="auto"/>
            <w:color w:val="0000FF"/>
          </w:rPr>
          <w:t>Agreement of Resignation, Appointment and Acceptance dated February 15, 2008.</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 exhibit to Form 10-K for the year ended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2007 on February 28, 2008 and incorporated herein by reference.)</w:t>
      </w:r>
    </w:p>
    <w:p>
      <w:pPr>
        <w:spacing w:after="0" w:line="224" w:lineRule="exact"/>
        <w:rPr>
          <w:sz w:val="20"/>
          <w:szCs w:val="20"/>
          <w:color w:val="auto"/>
        </w:rPr>
      </w:pPr>
    </w:p>
    <w:p>
      <w:pPr>
        <w:jc w:val="both"/>
        <w:ind w:right="20"/>
        <w:spacing w:after="0" w:line="269" w:lineRule="auto"/>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u w:val="single" w:color="auto"/>
            <w:color w:val="0000FF"/>
          </w:rPr>
          <w:t>First Supplemental Indenture, dated February 26, 1997.</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8-K on March 14, 1997 and incorporated herein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w:t>
      </w:r>
    </w:p>
    <w:p>
      <w:pPr>
        <w:spacing w:after="0" w:line="195" w:lineRule="exact"/>
        <w:rPr>
          <w:sz w:val="20"/>
          <w:szCs w:val="20"/>
          <w:color w:val="auto"/>
        </w:rPr>
      </w:pPr>
    </w:p>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u w:val="single" w:color="auto"/>
            <w:color w:val="0000FF"/>
          </w:rPr>
          <w:t>8-1/8% Debentures due April 1, 2097.</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8-K on April 8, 1997 and incorporated herein by reference.)</w:t>
      </w:r>
    </w:p>
    <w:p>
      <w:pPr>
        <w:spacing w:after="0" w:line="2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Officer’s Certificate of Amgen Inc., dated April 8, 1997, establishing a series of securities entitled “8 1/8% Debentures due April 1,</w:t>
        </w:r>
      </w:hyperlink>
    </w:p>
    <w:p>
      <w:pPr>
        <w:spacing w:after="0" w:line="22" w:lineRule="exact"/>
        <w:rPr>
          <w:sz w:val="20"/>
          <w:szCs w:val="20"/>
          <w:color w:val="auto"/>
        </w:rPr>
      </w:pPr>
    </w:p>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u w:val="single" w:color="auto"/>
            <w:color w:val="0000FF"/>
          </w:rPr>
          <w:t>2097.”</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 April 8, 1997 and incorporated herein by reference.)</w:t>
        </w:r>
      </w:hyperlink>
    </w:p>
    <w:p>
      <w:pPr>
        <w:spacing w:after="0" w:line="224" w:lineRule="exact"/>
        <w:rPr>
          <w:sz w:val="20"/>
          <w:szCs w:val="20"/>
          <w:color w:val="auto"/>
        </w:rPr>
      </w:pPr>
    </w:p>
    <w:p>
      <w:pPr>
        <w:jc w:val="both"/>
        <w:ind w:right="20"/>
        <w:spacing w:after="0" w:line="269" w:lineRule="auto"/>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u w:val="single" w:color="auto"/>
            <w:color w:val="0000FF"/>
          </w:rPr>
          <w:t>Indenture, dated August 4, 2003.</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S-3 Registration Statement on August 4, 2003 and incorporated herein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w:t>
      </w:r>
    </w:p>
    <w:p>
      <w:pPr>
        <w:spacing w:after="0" w:line="195" w:lineRule="exact"/>
        <w:rPr>
          <w:sz w:val="20"/>
          <w:szCs w:val="20"/>
          <w:color w:val="auto"/>
        </w:rPr>
      </w:pPr>
    </w:p>
    <w:p>
      <w:pPr>
        <w:jc w:val="both"/>
        <w:ind w:right="20"/>
        <w:spacing w:after="0" w:line="257" w:lineRule="auto"/>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u w:val="single" w:color="auto"/>
            <w:color w:val="0000FF"/>
          </w:rPr>
          <w:t>Corporate Commercial Paper - Master Note between and among Amgen Inc., as Issuer, Cede &amp; Co., as Nominee of The Depository Trust</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Company, and Citibank, N.A., as Paying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10-Q for the quarter ended March 31, 1998 on May 13,</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1998 and incorporated herein by reference.)</w:t>
      </w:r>
    </w:p>
    <w:p>
      <w:pPr>
        <w:spacing w:after="0" w:line="206" w:lineRule="exact"/>
        <w:rPr>
          <w:sz w:val="20"/>
          <w:szCs w:val="20"/>
          <w:color w:val="auto"/>
        </w:rPr>
      </w:pPr>
    </w:p>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u w:val="single" w:color="auto"/>
            <w:color w:val="0000FF"/>
          </w:rPr>
          <w:t>Officers’ Certificate of Amgen Inc., dated May 30, 2007, including form of the Company’s 6.375% Senior Notes due 2037.</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to Form 8-K on May 30, 2007 and incorporated herein by reference.)</w:t>
      </w:r>
    </w:p>
    <w:p>
      <w:pPr>
        <w:spacing w:after="0" w:line="211" w:lineRule="exact"/>
        <w:rPr>
          <w:sz w:val="20"/>
          <w:szCs w:val="20"/>
          <w:color w:val="auto"/>
        </w:rPr>
      </w:pPr>
    </w:p>
    <w:p>
      <w:pPr>
        <w:jc w:val="both"/>
        <w:ind w:right="20"/>
        <w:spacing w:after="0" w:line="231" w:lineRule="auto"/>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u w:val="single" w:color="auto"/>
            <w:color w:val="0000FF"/>
          </w:rPr>
          <w:t>Officers’ Certificate of Amgen Inc., dated May 23, 2008, including form of the Company’s 6.90% Senior Notes due 2038.</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exhibit to Form 8-K on May 23, 2008 and incorporated herein by reference.)</w:t>
      </w:r>
    </w:p>
    <w:p>
      <w:pPr>
        <w:spacing w:after="0" w:line="208" w:lineRule="exact"/>
        <w:rPr>
          <w:sz w:val="20"/>
          <w:szCs w:val="20"/>
          <w:color w:val="auto"/>
        </w:rPr>
      </w:pPr>
    </w:p>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u w:val="single" w:color="auto"/>
            <w:color w:val="0000FF"/>
          </w:rPr>
          <w:t>Officers’ Certificate of Amgen Inc., dated January 16, 2009, including form of the Company’s 6.40% Senior Notes due 2039.</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to Form 8-K on January 16, 2009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u w:val="single" w:color="auto"/>
            <w:color w:val="0000FF"/>
          </w:rPr>
          <w:t>Officers’ Certificate of Amgen Inc., dated March 12, 2010, including form of the Company’s 5.75% Senior Notes due 2040.</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to Form 8-K on March 12, 2010 and incorporated herein by reference.)</w:t>
      </w:r>
    </w:p>
    <w:p>
      <w:pPr>
        <w:spacing w:after="0" w:line="200" w:lineRule="exact"/>
        <w:rPr>
          <w:sz w:val="20"/>
          <w:szCs w:val="20"/>
          <w:color w:val="auto"/>
        </w:rPr>
      </w:pPr>
    </w:p>
    <w:p>
      <w:pPr>
        <w:sectPr>
          <w:pgSz w:w="11900" w:h="16838" w:orient="portrait"/>
          <w:cols w:equalWidth="0" w:num="2">
            <w:col w:w="720" w:space="720"/>
            <w:col w:w="9700"/>
          </w:cols>
          <w:pgMar w:left="380" w:top="87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93345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80" w:top="871" w:right="37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auto"/>
        </w:rPr>
        <w:t>4.13</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4.14</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4.16</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4.17</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4.18</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4.19</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4.20</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4.21</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4.24</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4.25</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4.28</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u w:val="single" w:color="auto"/>
            <w:color w:val="0000FF"/>
          </w:rPr>
          <w:t>Officers’ Certificate of Amgen Inc., dated September 16, 2010, including form of the Company’s 4.95% Senior Notes due 2041.</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exhibit to Form 8-K on September 17, 2010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u w:val="single" w:color="auto"/>
            <w:color w:val="0000FF"/>
          </w:rPr>
          <w:t>Officers’ Certificate of Amgen Inc., dated June 30, 2011, including form of the Company’s 5.65% Senior Notes due 2042.</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to Form 8-K on June 30, 2011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u w:val="single" w:color="auto"/>
            <w:color w:val="0000FF"/>
          </w:rPr>
          <w:t>Officers’ Certificate of Amgen Inc., dated November 10, 2011, including form of the Company’s 5.15% Senior Notes due 2041.</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exhibit to Form 8-K on November 10, 2011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u w:val="single" w:color="auto"/>
            <w:color w:val="0000FF"/>
          </w:rPr>
          <w:t>Officers’ Certificate of Amgen Inc., dated December 5, 2011, including form of the Company’s 5.50% Senior Notes due 2026.</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exhibit to Form 8-K on December 5, 2011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u w:val="single" w:color="auto"/>
            <w:color w:val="0000FF"/>
          </w:rPr>
          <w:t>Officers’ Certificate of Amgen Inc., dated May 15, 2012, including form of the Company’s 5.375% Senior Notes due 2043.</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to Form 8-K on May 15, 2012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u w:val="single" w:color="auto"/>
            <w:color w:val="0000FF"/>
          </w:rPr>
          <w:t>Officers’ Certificate of Amgen Inc., dated September 13, 2012, including form of the Company’s 4.000% Senior Notes due 2029.</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exhibit to Form 8-K on September 13, 2012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u w:val="single" w:color="auto"/>
            <w:color w:val="0000FF"/>
          </w:rPr>
          <w:t>Indenture, dated May 22, 2014, between Amgen Inc. and The Bank of New York Mellon Trust Company, N.A., as Trustee.</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to Form 8-K on May 22, 2014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98">
        <w:r>
          <w:rPr>
            <w:rFonts w:ascii="Times New Roman" w:cs="Times New Roman" w:eastAsia="Times New Roman" w:hAnsi="Times New Roman"/>
            <w:sz w:val="16"/>
            <w:szCs w:val="16"/>
            <w:u w:val="single" w:color="auto"/>
            <w:color w:val="0000FF"/>
          </w:rPr>
          <w:t>Officer’s Certificate of Amgen Inc., dated May 1, 2015, including forms of the Company’s 3.125% Senior Notes due 2025 and 4.400%</w:t>
        </w:r>
      </w:hyperlink>
    </w:p>
    <w:p>
      <w:pPr>
        <w:spacing w:after="0" w:line="45" w:lineRule="exact"/>
        <w:rPr>
          <w:sz w:val="20"/>
          <w:szCs w:val="20"/>
          <w:color w:val="auto"/>
        </w:rPr>
      </w:pPr>
    </w:p>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u w:val="single" w:color="auto"/>
            <w:color w:val="0000FF"/>
          </w:rPr>
          <w:t>Senior Notes due 2045.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on Form 8-K on May 1, 2015 and incorporated herein by reference.)</w:t>
        </w:r>
      </w:hyperlink>
    </w:p>
    <w:p>
      <w:pPr>
        <w:spacing w:after="0" w:line="22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Officer’s Certificate of Amgen Inc., dated as of February 25, 2016, including form of the Company’s 2.000% Senior Notes due 2026.</w:t>
        </w:r>
      </w:hyperlink>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as an exhibit on Form 8-K on February 26, 2016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Officer’s Certificate of Amgen Inc., dated as of June 14, 2016, including forms of the Company’s 4.563% Senior Notes due 2048 and</w:t>
        </w:r>
      </w:hyperlink>
    </w:p>
    <w:p>
      <w:pPr>
        <w:spacing w:after="0" w:line="22" w:lineRule="exact"/>
        <w:rPr>
          <w:sz w:val="20"/>
          <w:szCs w:val="20"/>
          <w:color w:val="auto"/>
        </w:rPr>
      </w:pPr>
    </w:p>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u w:val="single" w:color="auto"/>
            <w:color w:val="0000FF"/>
          </w:rPr>
          <w:t>4.663% Senior Notes due 2051.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 June 14, 2016 and incorporated herein by reference.)</w:t>
        </w:r>
      </w:hyperlink>
    </w:p>
    <w:p>
      <w:pPr>
        <w:spacing w:after="0" w:line="211" w:lineRule="exact"/>
        <w:rPr>
          <w:sz w:val="20"/>
          <w:szCs w:val="20"/>
          <w:color w:val="auto"/>
        </w:rPr>
      </w:pPr>
    </w:p>
    <w:p>
      <w:pPr>
        <w:jc w:val="both"/>
        <w:ind w:right="20"/>
        <w:spacing w:after="0" w:line="231"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Officer’s Certificate of Amgen Inc., dated as of August 19, 2016, including forms of the Company’s 2.600% Senior Notes due 2026.</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an exhibit to Form 8-K on August 19, 2016 and incorporated herein by reference.)</w:t>
      </w:r>
    </w:p>
    <w:p>
      <w:pPr>
        <w:spacing w:after="0" w:line="20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Officer’s Certificate of Amgen Inc., dated as of November 2, 2017, including in the form of the Company’s 3.200% Senior Notes due</w:t>
        </w:r>
      </w:hyperlink>
    </w:p>
    <w:p>
      <w:pPr>
        <w:spacing w:after="0" w:line="22" w:lineRule="exact"/>
        <w:rPr>
          <w:sz w:val="20"/>
          <w:szCs w:val="20"/>
          <w:color w:val="auto"/>
        </w:rPr>
      </w:pPr>
    </w:p>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 November 2, 2017 and incorporated herein by reference.)</w:t>
        </w:r>
      </w:hyperlink>
    </w:p>
    <w:p>
      <w:pPr>
        <w:spacing w:after="0" w:line="211" w:lineRule="exact"/>
        <w:rPr>
          <w:sz w:val="20"/>
          <w:szCs w:val="20"/>
          <w:color w:val="auto"/>
        </w:rPr>
      </w:pPr>
    </w:p>
    <w:p>
      <w:pPr>
        <w:jc w:val="both"/>
        <w:ind w:right="20"/>
        <w:spacing w:after="0" w:line="220"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Officer’s Certificate of Amgen Inc., dated as of February 21, 2020, including forms of the Company’s 1.900% Senior Notes due 2025,</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2.200% Senior Notes due 2027, 2.450% Senior Notes due 2030, 3.150% Senior Notes due 2040 and 3.375% Senior Notes due 2050.</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an exhibit to Form 8-K on February 21, 2020 and incorporated herein by reference.)</w:t>
      </w:r>
    </w:p>
    <w:p>
      <w:pPr>
        <w:spacing w:after="0" w:line="196" w:lineRule="exact"/>
        <w:rPr>
          <w:sz w:val="20"/>
          <w:szCs w:val="20"/>
          <w:color w:val="auto"/>
        </w:rPr>
      </w:pPr>
    </w:p>
    <w:p>
      <w:pPr>
        <w:jc w:val="both"/>
        <w:ind w:right="20"/>
        <w:spacing w:after="0" w:line="231" w:lineRule="auto"/>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u w:val="single" w:color="auto"/>
            <w:color w:val="0000FF"/>
          </w:rPr>
          <w:t>Officer’s Certificate of Amgen Inc., dated as of May 6, 2020, including form of the Company’s 2.300% Senior Notes due 2031.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 exhibit to Form 8-K on May 6, 2020 and incorporated herein by reference.)</w:t>
      </w:r>
    </w:p>
    <w:p>
      <w:pPr>
        <w:spacing w:after="0" w:line="195" w:lineRule="exact"/>
        <w:rPr>
          <w:sz w:val="20"/>
          <w:szCs w:val="20"/>
          <w:color w:val="auto"/>
        </w:rPr>
      </w:pPr>
    </w:p>
    <w:p>
      <w:pPr>
        <w:jc w:val="both"/>
        <w:ind w:right="20"/>
        <w:spacing w:after="0" w:line="231"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Officer’s Certificate of Amgen Inc., dated as of August 17, 2020, including forms of the Company’s 2.770% Senior Notes due 2053.</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an exhibit to Form 8-K on August 18, 2020 and incorporated herein by reference.)</w:t>
      </w:r>
    </w:p>
    <w:p>
      <w:pPr>
        <w:spacing w:after="0" w:line="195" w:lineRule="exact"/>
        <w:rPr>
          <w:sz w:val="20"/>
          <w:szCs w:val="20"/>
          <w:color w:val="auto"/>
        </w:rPr>
      </w:pPr>
    </w:p>
    <w:p>
      <w:pPr>
        <w:jc w:val="both"/>
        <w:ind w:right="20"/>
        <w:spacing w:after="0" w:line="220" w:lineRule="auto"/>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u w:val="single" w:color="auto"/>
            <w:color w:val="0000FF"/>
          </w:rPr>
          <w:t>Officer’s Certificate of Amgen Inc., dated as of August 9, 2021, including forms of the Company’s 1.650% Senior Notes due 2028,</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2.000% Senior Notes due 2032, 2.800% Senior Notes due 2041 and 3.000% Senior Notes due 2052.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August 9, 2021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93345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720" w:space="720"/>
            <w:col w:w="9700"/>
          </w:cols>
          <w:pgMar w:left="380" w:top="913"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4.29</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4.32</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10.9.1+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10.9.2+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10.9.3+</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both"/>
        <w:ind w:right="20"/>
        <w:spacing w:after="0" w:line="220" w:lineRule="auto"/>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u w:val="single" w:color="auto"/>
            <w:color w:val="0000FF"/>
          </w:rPr>
          <w:t>Officer’s Certificate of Amgen Inc., dated as of February 22, 2022, including forms of the Company’s 3.000% Senior Notes due 2029,</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3.350% Senior Notes due 2032, 4.200% Senior Notes due 2052 and 4.400% Senior Notes due 2062.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February 22, 2022 and incorporated herein by reference.)</w:t>
      </w:r>
    </w:p>
    <w:p>
      <w:pPr>
        <w:spacing w:after="0" w:line="196" w:lineRule="exact"/>
        <w:rPr>
          <w:sz w:val="20"/>
          <w:szCs w:val="20"/>
          <w:color w:val="auto"/>
        </w:rPr>
      </w:pPr>
    </w:p>
    <w:p>
      <w:pPr>
        <w:jc w:val="both"/>
        <w:ind w:right="20"/>
        <w:spacing w:after="0" w:line="220" w:lineRule="auto"/>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u w:val="single" w:color="auto"/>
            <w:color w:val="0000FF"/>
          </w:rPr>
          <w:t>Officer’s Certificate of Amgen Inc., dated as of August 18, 2022, including forms of the Company’s 4.050% Senior Notes due 2029,</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4.200% Senior Notes due 2033 and 4.875% Senior Notes due 2053.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 August 18, 2022 and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w:t>
      </w:r>
    </w:p>
    <w:p>
      <w:pPr>
        <w:spacing w:after="0" w:line="196" w:lineRule="exact"/>
        <w:rPr>
          <w:sz w:val="20"/>
          <w:szCs w:val="20"/>
          <w:color w:val="auto"/>
        </w:rPr>
      </w:pPr>
    </w:p>
    <w:p>
      <w:pPr>
        <w:jc w:val="both"/>
        <w:ind w:right="20"/>
        <w:spacing w:after="0" w:line="238" w:lineRule="auto"/>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u w:val="single" w:color="auto"/>
            <w:color w:val="0000FF"/>
          </w:rPr>
          <w:t>Officer’s Certificate of the Company, dated as of March 2, 2023, including forms of the Company’s 5.250% Senior Notes due 2025,</w:t>
        </w:r>
      </w:hyperlink>
      <w:r>
        <w:rPr>
          <w:rFonts w:ascii="Times New Roman" w:cs="Times New Roman" w:eastAsia="Times New Roman" w:hAnsi="Times New Roman"/>
          <w:sz w:val="16"/>
          <w:szCs w:val="16"/>
          <w:u w:val="single" w:color="auto"/>
          <w:color w:val="0000FF"/>
        </w:rPr>
        <w:t xml:space="preserve"> </w:t>
      </w:r>
      <w:hyperlink r:id="rId110">
        <w:r>
          <w:rPr>
            <w:rFonts w:ascii="Times New Roman" w:cs="Times New Roman" w:eastAsia="Times New Roman" w:hAnsi="Times New Roman"/>
            <w:sz w:val="16"/>
            <w:szCs w:val="16"/>
            <w:u w:val="single" w:color="auto"/>
            <w:color w:val="0000FF"/>
          </w:rPr>
          <w:t>5.507% Senior Notes due 2026, 5.150% Senior Notes due 2028, 5.250% Senior Notes due 2030, 5.250% Senior Notes due 2033, 5.600%</w:t>
        </w:r>
      </w:hyperlink>
      <w:r>
        <w:rPr>
          <w:rFonts w:ascii="Times New Roman" w:cs="Times New Roman" w:eastAsia="Times New Roman" w:hAnsi="Times New Roman"/>
          <w:sz w:val="16"/>
          <w:szCs w:val="16"/>
          <w:u w:val="single" w:color="auto"/>
          <w:color w:val="0000FF"/>
        </w:rPr>
        <w:t xml:space="preserve"> </w:t>
      </w:r>
      <w:hyperlink r:id="rId110">
        <w:r>
          <w:rPr>
            <w:rFonts w:ascii="Times New Roman" w:cs="Times New Roman" w:eastAsia="Times New Roman" w:hAnsi="Times New Roman"/>
            <w:sz w:val="16"/>
            <w:szCs w:val="16"/>
            <w:u w:val="single" w:color="auto"/>
            <w:color w:val="0000FF"/>
          </w:rPr>
          <w:t>Senior Notes due 2043, 5.650% Senior Notes due 2053 and 5.750% Senior Notes due 2063.</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 exhibit to Form 8-K on March 2,</w:t>
        </w:r>
      </w:hyperlink>
    </w:p>
    <w:p>
      <w:pPr>
        <w:spacing w:after="0"/>
        <w:rPr>
          <w:sz w:val="20"/>
          <w:szCs w:val="20"/>
          <w:color w:val="auto"/>
        </w:rPr>
      </w:pPr>
      <w:r>
        <w:rPr>
          <w:rFonts w:ascii="Times New Roman" w:cs="Times New Roman" w:eastAsia="Times New Roman" w:hAnsi="Times New Roman"/>
          <w:sz w:val="18"/>
          <w:szCs w:val="18"/>
          <w:color w:val="auto"/>
        </w:rPr>
        <w:t>2023 and incorporated herein by reference.)</w:t>
      </w:r>
    </w:p>
    <w:p>
      <w:pPr>
        <w:spacing w:after="0" w:line="182" w:lineRule="exact"/>
        <w:rPr>
          <w:rFonts w:ascii="Times New Roman" w:cs="Times New Roman" w:eastAsia="Times New Roman" w:hAnsi="Times New Roman"/>
          <w:sz w:val="16"/>
          <w:szCs w:val="16"/>
          <w:u w:val="single" w:color="auto"/>
          <w:color w:val="0000FF"/>
        </w:rPr>
      </w:pPr>
    </w:p>
    <w:p>
      <w:pPr>
        <w:jc w:val="both"/>
        <w:spacing w:after="0" w:line="231" w:lineRule="auto"/>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u w:val="single" w:color="auto"/>
            <w:color w:val="0000FF"/>
          </w:rPr>
          <w:t>Description of Amgen Inc.’s Securities Registered Pursuant to Section 12 of the Securities Exchange Act of 1934.</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10-K for the year ended December 31, 2023 on February 14, 2024 and incorporated herein by reference.)</w:t>
      </w:r>
    </w:p>
    <w:p>
      <w:pPr>
        <w:spacing w:after="0" w:line="208"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u w:val="single" w:color="auto"/>
            <w:color w:val="0000FF"/>
          </w:rPr>
          <w:t>Amgen Inc. Second Amended and Restated 2009 Equity Incentive Plan.</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Appendix C to the Definitive Proxy Statement on</w:t>
      </w:r>
    </w:p>
    <w:p>
      <w:pPr>
        <w:spacing w:after="0" w:line="22"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Schedule 14A on April 17, 2024 and incorporated herein by reference.)</w:t>
      </w:r>
    </w:p>
    <w:p>
      <w:pPr>
        <w:spacing w:after="0" w:line="224" w:lineRule="exact"/>
        <w:rPr>
          <w:rFonts w:ascii="Times New Roman" w:cs="Times New Roman" w:eastAsia="Times New Roman" w:hAnsi="Times New Roman"/>
          <w:sz w:val="16"/>
          <w:szCs w:val="16"/>
          <w:u w:val="single" w:color="auto"/>
          <w:color w:val="0000FF"/>
        </w:rPr>
      </w:pPr>
    </w:p>
    <w:p>
      <w:pPr>
        <w:jc w:val="both"/>
        <w:ind w:right="20"/>
        <w:spacing w:after="0" w:line="257" w:lineRule="auto"/>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u w:val="single" w:color="auto"/>
            <w:color w:val="0000FF"/>
          </w:rPr>
          <w:t>Form of Grant of Stock Option Agreement for the Amgen Inc. Second Amended and Restated 2009 Equity Incentive Plan.</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Restated on May 31, 2024.) (Filed as an exhibit to Form 10-Q for the quarter ended June 30, 2024 on August 7, 2024 and incorporated herein by reference.)</w:t>
      </w:r>
    </w:p>
    <w:p>
      <w:pPr>
        <w:spacing w:after="0" w:line="206" w:lineRule="exact"/>
        <w:rPr>
          <w:rFonts w:ascii="Times New Roman" w:cs="Times New Roman" w:eastAsia="Times New Roman" w:hAnsi="Times New Roman"/>
          <w:sz w:val="16"/>
          <w:szCs w:val="16"/>
          <w:u w:val="single" w:color="auto"/>
          <w:color w:val="0000FF"/>
        </w:rPr>
      </w:pPr>
    </w:p>
    <w:p>
      <w:pPr>
        <w:jc w:val="both"/>
        <w:ind w:right="20"/>
        <w:spacing w:after="0" w:line="257" w:lineRule="auto"/>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u w:val="single" w:color="auto"/>
            <w:color w:val="0000FF"/>
          </w:rPr>
          <w:t>Form of Restricted Stock Unit Agreement for the Amgen Inc. Second Amended and Restated 2009 Equity Incentive Plan.</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Restated on May 31, 2024.) (Filed as an exhibit to Form 10-Q for the quarter ended June 30, 2024 on August 7, 2024 and incorporated herein by reference.)</w:t>
      </w:r>
    </w:p>
    <w:p>
      <w:pPr>
        <w:spacing w:after="0" w:line="126" w:lineRule="exact"/>
        <w:rPr>
          <w:rFonts w:ascii="Times New Roman" w:cs="Times New Roman" w:eastAsia="Times New Roman" w:hAnsi="Times New Roman"/>
          <w:sz w:val="16"/>
          <w:szCs w:val="16"/>
          <w:u w:val="single" w:color="auto"/>
          <w:color w:val="0000FF"/>
        </w:rPr>
      </w:pPr>
    </w:p>
    <w:p>
      <w:pPr>
        <w:jc w:val="both"/>
        <w:ind w:right="20"/>
        <w:spacing w:after="0" w:line="231" w:lineRule="auto"/>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u w:val="single" w:color="auto"/>
            <w:color w:val="0000FF"/>
          </w:rPr>
          <w:t>Amgen Inc. 2009 Performance Award Program.</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on May 31, 2024.) (Filed as an exhibit to Form 10-Q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quarter ended June 30, 2024 on August 7, 2024 and incorporated herein by reference.)</w:t>
      </w:r>
    </w:p>
    <w:p>
      <w:pPr>
        <w:spacing w:after="0" w:line="182"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u w:val="single" w:color="auto"/>
            <w:color w:val="0000FF"/>
          </w:rPr>
          <w:t>Form of Performance Unit Agreement for the Amgen Inc. 2009 Performance Award Program.</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on May 31,</w:t>
      </w:r>
    </w:p>
    <w:p>
      <w:pPr>
        <w:spacing w:after="0" w:line="22"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2024.) (Filed as an exhibit to Form 10-Q for the quarter ended June 30, 2024 on August 7, 2024 and incorporated herein by reference.)</w:t>
      </w:r>
    </w:p>
    <w:p>
      <w:pPr>
        <w:spacing w:after="0" w:line="247" w:lineRule="exact"/>
        <w:rPr>
          <w:rFonts w:ascii="Times New Roman" w:cs="Times New Roman" w:eastAsia="Times New Roman" w:hAnsi="Times New Roman"/>
          <w:sz w:val="16"/>
          <w:szCs w:val="16"/>
          <w:u w:val="single" w:color="auto"/>
          <w:color w:val="0000FF"/>
        </w:rPr>
      </w:pPr>
    </w:p>
    <w:p>
      <w:pPr>
        <w:jc w:val="both"/>
        <w:spacing w:after="0" w:line="269" w:lineRule="auto"/>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u w:val="single" w:color="auto"/>
            <w:color w:val="0000FF"/>
          </w:rPr>
          <w:t>Amgen Inc. 2009 Director Equity Incentive Program.</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on May 31, 2024.) (Filed as an exhibit to Form 10-Q</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quarter ended June 30, 2024 on August 7, 2024 and incorporated herein by reference.)</w:t>
      </w:r>
    </w:p>
    <w:p>
      <w:pPr>
        <w:spacing w:after="0" w:line="182" w:lineRule="exact"/>
        <w:rPr>
          <w:rFonts w:ascii="Times New Roman" w:cs="Times New Roman" w:eastAsia="Times New Roman" w:hAnsi="Times New Roman"/>
          <w:sz w:val="16"/>
          <w:szCs w:val="16"/>
          <w:u w:val="single" w:color="auto"/>
          <w:color w:val="0000FF"/>
        </w:rPr>
      </w:pPr>
    </w:p>
    <w:p>
      <w:pPr>
        <w:jc w:val="both"/>
        <w:ind w:right="20"/>
        <w:spacing w:after="0" w:line="220" w:lineRule="auto"/>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u w:val="single" w:color="auto"/>
            <w:color w:val="0000FF"/>
          </w:rPr>
          <w:t>Form of Restricted Stock Unit Agreement for the Amgen Inc. 2009 Director Equity Incentive Program.</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May 31, 2024.) (Filed as an exhibit to Form 10-Q for the quarter ended June 30, 2024 on August 7, 2024 and incorporated herein by reference.)</w:t>
      </w:r>
    </w:p>
    <w:p>
      <w:pPr>
        <w:spacing w:after="0" w:line="209" w:lineRule="exact"/>
        <w:rPr>
          <w:rFonts w:ascii="Times New Roman" w:cs="Times New Roman" w:eastAsia="Times New Roman" w:hAnsi="Times New Roman"/>
          <w:sz w:val="16"/>
          <w:szCs w:val="16"/>
          <w:u w:val="single" w:color="auto"/>
          <w:color w:val="0000FF"/>
        </w:rPr>
      </w:pPr>
    </w:p>
    <w:p>
      <w:pPr>
        <w:jc w:val="both"/>
        <w:ind w:right="20"/>
        <w:spacing w:after="0" w:line="257" w:lineRule="auto"/>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u w:val="single" w:color="auto"/>
            <w:color w:val="0000FF"/>
          </w:rPr>
          <w:t>Form of Cash-Settled Restricted Stock Unit Agreement for the Amgen Inc. 2009 Director Equity Incentive Program.</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Restated on May 31, 2024.) (Filed as an exhibit to Form 10-Q for the quarter ended June 30, 2024 on August 7, 2024 and incorporated herein by reference.)</w:t>
      </w:r>
    </w:p>
    <w:p>
      <w:pPr>
        <w:spacing w:after="0" w:line="206"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u w:val="single" w:color="auto"/>
            <w:color w:val="0000FF"/>
          </w:rPr>
          <w:t>Amgen Inc. Supplemental Retirement Plan. (As Amended and Restated effective October 16, 2013.)</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 exhibit to Form 10-K</w:t>
      </w:r>
    </w:p>
    <w:p>
      <w:pPr>
        <w:spacing w:after="0" w:line="45"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for the year ended December 31, 2013 on February 24, 2014 and incorporated herein by reference.)</w:t>
      </w:r>
    </w:p>
    <w:p>
      <w:pPr>
        <w:spacing w:after="0" w:line="211" w:lineRule="exact"/>
        <w:rPr>
          <w:rFonts w:ascii="Times New Roman" w:cs="Times New Roman" w:eastAsia="Times New Roman" w:hAnsi="Times New Roman"/>
          <w:sz w:val="16"/>
          <w:szCs w:val="16"/>
          <w:u w:val="single" w:color="auto"/>
          <w:color w:val="0000FF"/>
        </w:rPr>
      </w:pPr>
    </w:p>
    <w:p>
      <w:pPr>
        <w:jc w:val="both"/>
        <w:ind w:right="20"/>
        <w:spacing w:after="0" w:line="231" w:lineRule="auto"/>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u w:val="single" w:color="auto"/>
            <w:color w:val="0000FF"/>
          </w:rPr>
          <w:t>First Amendment to the Amgen Inc. Supplemental Retirement Plan, effective October 14, 2016.</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10-Q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quarter ended September 30, 2016 on October 28, 2016 and incorporated herein by reference.)</w:t>
      </w:r>
    </w:p>
    <w:p>
      <w:pPr>
        <w:spacing w:after="0" w:line="22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u w:val="single" w:color="auto"/>
            <w:color w:val="0000FF"/>
          </w:rPr>
          <w:t>Second Amendment to the Amgen Inc. Supplemental Retirement Plan, effective October 23, 2019.</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 exhibit to Form 10-K for</w:t>
      </w:r>
    </w:p>
    <w:p>
      <w:pPr>
        <w:spacing w:after="0" w:line="21"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the year ended December 31, 2019 on February 12, 2020 and incorporated herein by reference.)</w:t>
      </w:r>
    </w:p>
    <w:p>
      <w:pPr>
        <w:spacing w:after="0" w:line="182" w:lineRule="exact"/>
        <w:rPr>
          <w:rFonts w:ascii="Times New Roman" w:cs="Times New Roman" w:eastAsia="Times New Roman" w:hAnsi="Times New Roman"/>
          <w:sz w:val="16"/>
          <w:szCs w:val="16"/>
          <w:u w:val="single" w:color="auto"/>
          <w:color w:val="0000FF"/>
        </w:rPr>
      </w:pPr>
    </w:p>
    <w:p>
      <w:pPr>
        <w:jc w:val="both"/>
        <w:ind w:right="20"/>
        <w:spacing w:after="0" w:line="231" w:lineRule="auto"/>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u w:val="single" w:color="auto"/>
            <w:color w:val="0000FF"/>
          </w:rPr>
          <w:t>Third Amendment to the Amgen Inc. Supplemental Retirement Plan, effective October 20, 2021.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year ended December 31, 2021 on February 16, 2022 and incorporated herein by reference.)</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41" w:lineRule="exact"/>
        <w:rPr>
          <w:rFonts w:ascii="Times New Roman" w:cs="Times New Roman" w:eastAsia="Times New Roman" w:hAnsi="Times New Roman"/>
          <w:sz w:val="16"/>
          <w:szCs w:val="16"/>
          <w:u w:val="single" w:color="auto"/>
          <w:color w:val="0000FF"/>
        </w:rPr>
      </w:pPr>
    </w:p>
    <w:p>
      <w:pPr>
        <w:jc w:val="center"/>
        <w:ind w:right="14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-960755</wp:posOffset>
            </wp:positionH>
            <wp:positionV relativeFrom="paragraph">
              <wp:posOffset>93345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720" w:space="720"/>
            <w:col w:w="9700"/>
          </w:cols>
          <w:pgMar w:left="380" w:top="913"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10.9.4+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10.12.1+</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10.12.2+</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10.12.4+</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both"/>
        <w:ind w:right="20"/>
        <w:spacing w:after="0" w:line="231" w:lineRule="auto"/>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u w:val="single" w:color="auto"/>
            <w:color w:val="0000FF"/>
          </w:rPr>
          <w:t>Fourth Amendment to the Amgen Inc. Supplemental Retirement Plan, effective October 20, 2022.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year ended December 31, 2022 on February 9, 2023 and incorporated herein by reference.)</w:t>
      </w:r>
    </w:p>
    <w:p>
      <w:pPr>
        <w:spacing w:after="0" w:line="208" w:lineRule="exact"/>
        <w:rPr>
          <w:sz w:val="20"/>
          <w:szCs w:val="20"/>
          <w:color w:val="auto"/>
        </w:rPr>
      </w:pPr>
    </w:p>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u w:val="single" w:color="auto"/>
            <w:color w:val="0000FF"/>
          </w:rPr>
          <w:t>Fifth Amendment to the Amgen Inc. Supplemental Retirement Plan, effective January 1, 2024.</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 exhibit to Form 10-K for the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2023 on February 14, 2024 and incorporated herein by reference.)</w:t>
      </w:r>
    </w:p>
    <w:p>
      <w:pPr>
        <w:spacing w:after="0" w:line="224" w:lineRule="exact"/>
        <w:rPr>
          <w:sz w:val="20"/>
          <w:szCs w:val="20"/>
          <w:color w:val="auto"/>
        </w:rPr>
      </w:pPr>
    </w:p>
    <w:p>
      <w:pPr>
        <w:jc w:val="both"/>
        <w:ind w:right="20"/>
        <w:spacing w:after="0" w:line="257" w:lineRule="auto"/>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u w:val="single" w:color="auto"/>
            <w:color w:val="0000FF"/>
          </w:rPr>
          <w:t>Amended and Restated Amgen Change of Control Severance Plan. (As Amended and Restated effective December 9, 2010 and</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subsequently amended effective March 2, 2011.)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10-Q for the quarter ended March 31, 2011 on May 10,</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2011 and incorporated herein by reference.)</w:t>
      </w:r>
    </w:p>
    <w:p>
      <w:pPr>
        <w:spacing w:after="0" w:line="153" w:lineRule="exact"/>
        <w:rPr>
          <w:sz w:val="20"/>
          <w:szCs w:val="20"/>
          <w:color w:val="auto"/>
        </w:rPr>
      </w:pPr>
    </w:p>
    <w:p>
      <w:pPr>
        <w:jc w:val="both"/>
        <w:ind w:right="20"/>
        <w:spacing w:after="0" w:line="231" w:lineRule="auto"/>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u w:val="single" w:color="auto"/>
            <w:color w:val="0000FF"/>
          </w:rPr>
          <w:t>Amgen Inc. Executive Incentive Plan.</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effective January 1, 2022.) (Filed as an exhibit to Form 10-Q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quarter ended March 31, 2022 on April 28, 2022 and incorporated herein by reference.)</w:t>
      </w:r>
    </w:p>
    <w:p>
      <w:pPr>
        <w:spacing w:after="0" w:line="208" w:lineRule="exact"/>
        <w:rPr>
          <w:sz w:val="20"/>
          <w:szCs w:val="20"/>
          <w:color w:val="auto"/>
        </w:rPr>
      </w:pPr>
    </w:p>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u w:val="single" w:color="auto"/>
            <w:color w:val="0000FF"/>
          </w:rPr>
          <w:t>Amgen Nonqualified Deferred Compensation Plan. (As Amended and Restated effective October 16, 2013.)</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 exhibit to Form</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 for the year ended December 31, 2013 on February 24, 2014 and incorporated herein by reference.)</w:t>
      </w:r>
    </w:p>
    <w:p>
      <w:pPr>
        <w:spacing w:after="0" w:line="224" w:lineRule="exact"/>
        <w:rPr>
          <w:sz w:val="20"/>
          <w:szCs w:val="20"/>
          <w:color w:val="auto"/>
        </w:rPr>
      </w:pPr>
    </w:p>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u w:val="single" w:color="auto"/>
            <w:color w:val="0000FF"/>
          </w:rPr>
          <w:t>First Amendment to the Amgen Nonqualified Deferred Compensation Plan, effective October 14, 2016.</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 exhibit to Form 10-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for the quarter ended September 30, 2016 on October 28, 2016 and incorporated herein by reference.)</w:t>
      </w:r>
    </w:p>
    <w:p>
      <w:pPr>
        <w:spacing w:after="0" w:line="237" w:lineRule="exact"/>
        <w:rPr>
          <w:sz w:val="20"/>
          <w:szCs w:val="20"/>
          <w:color w:val="auto"/>
        </w:rPr>
      </w:pPr>
    </w:p>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u w:val="single" w:color="auto"/>
            <w:color w:val="0000FF"/>
          </w:rPr>
          <w:t>Second Amendment to the Amgen Nonqualified Deferred Compensation Plan, effective January 1, 2020.</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 exhibit to Form 10-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2019 on February 12, 2020 and incorporated herein by reference.)</w:t>
      </w:r>
    </w:p>
    <w:p>
      <w:pPr>
        <w:spacing w:after="0" w:line="237" w:lineRule="exact"/>
        <w:rPr>
          <w:sz w:val="20"/>
          <w:szCs w:val="20"/>
          <w:color w:val="auto"/>
        </w:rPr>
      </w:pPr>
    </w:p>
    <w:p>
      <w:pPr>
        <w:jc w:val="both"/>
        <w:ind w:right="20"/>
        <w:spacing w:after="0" w:line="231" w:lineRule="auto"/>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u w:val="single" w:color="auto"/>
            <w:color w:val="0000FF"/>
          </w:rPr>
          <w:t>Third Amendment to the Amgen Nonqualified Deferred Compensation Plan, effective January 1, 2022.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2021 on February 16, 2022 and incorporated herein by reference.)</w:t>
      </w:r>
    </w:p>
    <w:p>
      <w:pPr>
        <w:spacing w:after="0" w:line="208" w:lineRule="exact"/>
        <w:rPr>
          <w:sz w:val="20"/>
          <w:szCs w:val="20"/>
          <w:color w:val="auto"/>
        </w:rPr>
      </w:pPr>
    </w:p>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u w:val="single" w:color="auto"/>
            <w:color w:val="0000FF"/>
          </w:rPr>
          <w:t>Fourth Amendment to the Amgen Nonqualified Deferred Compensation Plan, effective January 1, 2024.</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an exhibit to Form 10-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2023 on February 14, 2024 and incorporated herein by reference.)</w:t>
      </w:r>
    </w:p>
    <w:p>
      <w:pPr>
        <w:spacing w:after="0" w:line="211" w:lineRule="exact"/>
        <w:rPr>
          <w:sz w:val="20"/>
          <w:szCs w:val="20"/>
          <w:color w:val="auto"/>
        </w:rPr>
      </w:pPr>
    </w:p>
    <w:p>
      <w:pPr>
        <w:jc w:val="both"/>
        <w:ind w:right="20"/>
        <w:spacing w:after="0" w:line="231" w:lineRule="auto"/>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u w:val="single" w:color="auto"/>
            <w:color w:val="0000FF"/>
          </w:rPr>
          <w:t>Aircraft Time Sharing Agreement, dated December 3, 2021, by and between Amgen Inc. and Robert A. Bradway.</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10-K for the year ended December 31, 2021 on February 16, 2022 and incorporated herein by reference.)</w:t>
      </w:r>
    </w:p>
    <w:p>
      <w:pPr>
        <w:spacing w:after="0" w:line="208" w:lineRule="exact"/>
        <w:rPr>
          <w:sz w:val="20"/>
          <w:szCs w:val="20"/>
          <w:color w:val="auto"/>
        </w:rPr>
      </w:pPr>
    </w:p>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u w:val="single" w:color="auto"/>
            <w:color w:val="0000FF"/>
          </w:rPr>
          <w:t>Agreement between Amgen Inc. and James Bradner, dated December 13, 2023.</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 for the year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on February 14, 2024 and incorporated herein by reference.)</w:t>
      </w:r>
    </w:p>
    <w:p>
      <w:pPr>
        <w:spacing w:after="0" w:line="211" w:lineRule="exact"/>
        <w:rPr>
          <w:sz w:val="20"/>
          <w:szCs w:val="20"/>
          <w:color w:val="auto"/>
        </w:rPr>
      </w:pPr>
    </w:p>
    <w:p>
      <w:pPr>
        <w:jc w:val="both"/>
        <w:spacing w:after="0" w:line="238" w:lineRule="auto"/>
        <w:rPr>
          <w:rFonts w:ascii="Times New Roman" w:cs="Times New Roman" w:eastAsia="Times New Roman" w:hAnsi="Times New Roman"/>
          <w:sz w:val="16"/>
          <w:szCs w:val="16"/>
          <w:u w:val="single" w:color="auto"/>
          <w:color w:val="0000FF"/>
        </w:rPr>
      </w:pPr>
      <w:hyperlink r:id="rId136">
        <w:r>
          <w:rPr>
            <w:rFonts w:ascii="Times New Roman" w:cs="Times New Roman" w:eastAsia="Times New Roman" w:hAnsi="Times New Roman"/>
            <w:sz w:val="16"/>
            <w:szCs w:val="16"/>
            <w:u w:val="single" w:color="auto"/>
            <w:color w:val="0000FF"/>
          </w:rPr>
          <w:t>Term Loan Credit Agreement, dated as of December 22, 2022, by and among Amgen Inc., Citibank, N.A., as administrative agent, Bank</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of America, N.A., as syndication agent, Citibank, N.A., Bank of America, N.A., Goldman Sachs Bank USA and Mizuho Bank, Ltd., as</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lead arrangers and book runners, Goldman Sachs Bank USA and Mizuho Bank, Ltd. as documentation agents, and the other banks party</w:t>
        </w:r>
      </w:hyperlink>
    </w:p>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u w:val="single" w:color="auto"/>
            <w:color w:val="0000FF"/>
          </w:rPr>
          <w:t>thereto.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 December 22, 2022 and incorporated herein by reference.)</w:t>
        </w:r>
      </w:hyperlink>
    </w:p>
    <w:p>
      <w:pPr>
        <w:spacing w:after="0" w:line="182" w:lineRule="exact"/>
        <w:rPr>
          <w:rFonts w:ascii="Times New Roman" w:cs="Times New Roman" w:eastAsia="Times New Roman" w:hAnsi="Times New Roman"/>
          <w:sz w:val="16"/>
          <w:szCs w:val="16"/>
          <w:u w:val="single" w:color="auto"/>
          <w:color w:val="0000FF"/>
        </w:rPr>
      </w:pPr>
    </w:p>
    <w:p>
      <w:pPr>
        <w:jc w:val="both"/>
        <w:ind w:right="20"/>
        <w:spacing w:after="0" w:line="220" w:lineRule="auto"/>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u w:val="single" w:color="auto"/>
            <w:color w:val="0000FF"/>
          </w:rPr>
          <w:t>Third Amended and Restated Credit Agreement, dated as of March 9, 2023, among Amgen Inc., the Banks therein named, Citibank,</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N.A., as Administrative Agent, and JPMorgan Chase Bank, N.A., as Syndication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an exhibit to Form 8-K on March 9,</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2023 and incorporated herein by reference.)</w:t>
      </w:r>
    </w:p>
    <w:p>
      <w:pPr>
        <w:spacing w:after="0" w:line="209" w:lineRule="exact"/>
        <w:rPr>
          <w:sz w:val="20"/>
          <w:szCs w:val="20"/>
          <w:color w:val="auto"/>
        </w:rPr>
      </w:pPr>
    </w:p>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u w:val="single" w:color="auto"/>
            <w:color w:val="0000FF"/>
          </w:rPr>
          <w:t>Collaboration and License Agreement between Amgen Inc. and Celltech R&amp;D Limited dated May 10, 2002</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(portions</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of the exhibit have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been omitted because they are both (i) not material and (ii) is the type of information that the Company treats as private or confidential.)</w:t>
      </w:r>
    </w:p>
    <w:p>
      <w:pPr>
        <w:spacing w:after="0" w:line="27"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38">
        <w:r>
          <w:rPr>
            <w:rFonts w:ascii="Times New Roman" w:cs="Times New Roman" w:eastAsia="Times New Roman" w:hAnsi="Times New Roman"/>
            <w:sz w:val="16"/>
            <w:szCs w:val="16"/>
            <w:u w:val="single" w:color="auto"/>
            <w:color w:val="0000FF"/>
          </w:rPr>
          <w:t>and Amendment No. 1, effective June 9, 2003, to Collaboration and License Agreement between Amgen Inc. and Celltech R&amp;D Limited</w:t>
        </w:r>
      </w:hyperlink>
    </w:p>
    <w:p>
      <w:pPr>
        <w:spacing w:after="0" w:line="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93345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720" w:space="720"/>
            <w:col w:w="9700"/>
          </w:cols>
          <w:pgMar w:left="380" w:top="913" w:right="3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10.17.1</w:t>
            </w:r>
          </w:p>
        </w:tc>
        <w:tc>
          <w:tcPr>
            <w:tcW w:w="9700" w:type="dxa"/>
            <w:vAlign w:val="bottom"/>
            <w:gridSpan w:val="13"/>
            <w:vMerge w:val="restart"/>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2 to Collaboration and License Agreement, effective November 14, 2016, between Amgen Inc. and Celltech R&amp;D</w:t>
              </w:r>
            </w:hyperlink>
          </w:p>
        </w:tc>
        <w:tc>
          <w:tcPr>
            <w:tcW w:w="120" w:type="dxa"/>
            <w:vAlign w:val="bottom"/>
            <w:gridSpan w:val="6"/>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440" w:type="dxa"/>
            <w:vAlign w:val="bottom"/>
          </w:tcPr>
          <w:p>
            <w:pPr>
              <w:spacing w:after="0"/>
              <w:rPr>
                <w:sz w:val="3"/>
                <w:szCs w:val="3"/>
                <w:color w:val="auto"/>
              </w:rPr>
            </w:pPr>
          </w:p>
        </w:tc>
        <w:tc>
          <w:tcPr>
            <w:tcW w:w="9700" w:type="dxa"/>
            <w:vAlign w:val="bottom"/>
            <w:tcBorders>
              <w:bottom w:val="single" w:sz="8" w:color="0000FF"/>
            </w:tcBorders>
            <w:gridSpan w:val="13"/>
            <w:vMerge w:val="continue"/>
          </w:tcPr>
          <w:p>
            <w:pPr>
              <w:spacing w:after="0"/>
              <w:rPr>
                <w:sz w:val="3"/>
                <w:szCs w:val="3"/>
                <w:color w:val="auto"/>
              </w:rPr>
            </w:pPr>
          </w:p>
        </w:tc>
        <w:tc>
          <w:tcPr>
            <w:tcW w:w="1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9820" w:type="dxa"/>
            <w:vAlign w:val="bottom"/>
            <w:gridSpan w:val="19"/>
          </w:tcPr>
          <w:p>
            <w:pPr>
              <w:spacing w:after="0" w:line="191"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 xml:space="preserve">Limited. </w:t>
              </w:r>
              <w:r>
                <w:rPr>
                  <w:rFonts w:ascii="Times New Roman" w:cs="Times New Roman" w:eastAsia="Times New Roman" w:hAnsi="Times New Roman"/>
                  <w:sz w:val="18"/>
                  <w:szCs w:val="18"/>
                  <w:color w:val="000000"/>
                </w:rPr>
                <w:t>(portions of the exhibit have been omitted because they are both (i) not material and (ii) is the type of information that the</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40" w:type="dxa"/>
            <w:vAlign w:val="bottom"/>
          </w:tcPr>
          <w:p>
            <w:pPr>
              <w:spacing w:after="0"/>
              <w:rPr>
                <w:sz w:val="18"/>
                <w:szCs w:val="18"/>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Company treats as private or confidential.) (Filed as an exhibit to Form 10-K for the year ended December 31, 2023 on February 14,</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2024 and incorporated herein by reference.)</w:t>
            </w:r>
          </w:p>
        </w:tc>
        <w:tc>
          <w:tcPr>
            <w:tcW w:w="0" w:type="dxa"/>
            <w:vAlign w:val="bottom"/>
          </w:tcPr>
          <w:p>
            <w:pPr>
              <w:spacing w:after="0"/>
              <w:rPr>
                <w:sz w:val="1"/>
                <w:szCs w:val="1"/>
                <w:color w:val="auto"/>
              </w:rPr>
            </w:pPr>
          </w:p>
        </w:tc>
      </w:tr>
      <w:tr>
        <w:trPr>
          <w:trHeight w:val="36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780" w:type="dxa"/>
            <w:vAlign w:val="bottom"/>
            <w:gridSpan w:val="17"/>
            <w:vMerge w:val="restart"/>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Letter Agreement, dated June 25, 2019, by and between Amgen Inc. and UCB Celltech (portions of the exhibit have been omitted</w:t>
              </w:r>
            </w:hyperlink>
          </w:p>
        </w:tc>
        <w:tc>
          <w:tcPr>
            <w:tcW w:w="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440" w:type="dxa"/>
            <w:vAlign w:val="bottom"/>
          </w:tcPr>
          <w:p>
            <w:pPr>
              <w:spacing w:after="0"/>
              <w:rPr>
                <w:sz w:val="3"/>
                <w:szCs w:val="3"/>
                <w:color w:val="auto"/>
              </w:rPr>
            </w:pPr>
          </w:p>
        </w:tc>
        <w:tc>
          <w:tcPr>
            <w:tcW w:w="9780" w:type="dxa"/>
            <w:vAlign w:val="bottom"/>
            <w:tcBorders>
              <w:bottom w:val="single" w:sz="8" w:color="0000FF"/>
            </w:tcBorders>
            <w:gridSpan w:val="17"/>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9820" w:type="dxa"/>
            <w:vAlign w:val="bottom"/>
            <w:gridSpan w:val="19"/>
          </w:tcPr>
          <w:p>
            <w:pPr>
              <w:spacing w:after="0" w:line="191"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 xml:space="preserve">because they are both (i) not material and (ii) would be competitively harmful if publicly disclosed). </w:t>
              </w:r>
              <w:r>
                <w:rPr>
                  <w:rFonts w:ascii="Times New Roman" w:cs="Times New Roman" w:eastAsia="Times New Roman" w:hAnsi="Times New Roman"/>
                  <w:sz w:val="18"/>
                  <w:szCs w:val="18"/>
                  <w:color w:val="000000"/>
                </w:rPr>
                <w:t>(Filed as an exhibit to Form 10-Q</w:t>
              </w:r>
            </w:hyperlink>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72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for the quarter ended June 30, 2019 on July 31, 2019 and incorporated herein by reference.)</w:t>
            </w:r>
          </w:p>
        </w:tc>
        <w:tc>
          <w:tcPr>
            <w:tcW w:w="26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Collaboration Agreement, dated October 31, 2019, by and between Amgen Inc. and BeiGene Switzerland GmbH, a wholly-owned</w:t>
              </w:r>
            </w:hyperlink>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 xml:space="preserve">subsidiary of BeiGene, Ltd. </w:t>
              </w:r>
              <w:r>
                <w:rPr>
                  <w:rFonts w:ascii="Times New Roman" w:cs="Times New Roman" w:eastAsia="Times New Roman" w:hAnsi="Times New Roman"/>
                  <w:sz w:val="16"/>
                  <w:szCs w:val="16"/>
                  <w:color w:val="000000"/>
                </w:rPr>
                <w:t>(portions of the exhibit have been omitted because they are both (i) not material and (ii) would be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440" w:type="dxa"/>
            <w:vAlign w:val="bottom"/>
          </w:tcPr>
          <w:p>
            <w:pPr>
              <w:spacing w:after="0"/>
              <w:rPr>
                <w:sz w:val="15"/>
                <w:szCs w:val="15"/>
                <w:color w:val="auto"/>
              </w:rPr>
            </w:pPr>
          </w:p>
        </w:tc>
        <w:tc>
          <w:tcPr>
            <w:tcW w:w="9820" w:type="dxa"/>
            <w:vAlign w:val="bottom"/>
            <w:gridSpan w:val="19"/>
          </w:tcPr>
          <w:p>
            <w:pPr>
              <w:spacing w:after="0" w:line="173" w:lineRule="exact"/>
              <w:rPr>
                <w:sz w:val="20"/>
                <w:szCs w:val="20"/>
                <w:color w:val="auto"/>
              </w:rPr>
            </w:pPr>
            <w:r>
              <w:rPr>
                <w:rFonts w:ascii="Times New Roman" w:cs="Times New Roman" w:eastAsia="Times New Roman" w:hAnsi="Times New Roman"/>
                <w:sz w:val="18"/>
                <w:szCs w:val="18"/>
                <w:color w:val="auto"/>
              </w:rPr>
              <w:t>competitively harmful if publicly disclosed). (Filed as an exhibit to Form 10-K for the year ended December 31, 2019 on February 12,</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2020 and incorporated herein by reference.)</w:t>
            </w:r>
          </w:p>
        </w:tc>
        <w:tc>
          <w:tcPr>
            <w:tcW w:w="0" w:type="dxa"/>
            <w:vAlign w:val="bottom"/>
          </w:tcPr>
          <w:p>
            <w:pPr>
              <w:spacing w:after="0"/>
              <w:rPr>
                <w:sz w:val="1"/>
                <w:szCs w:val="1"/>
                <w:color w:val="auto"/>
              </w:rPr>
            </w:pPr>
          </w:p>
        </w:tc>
      </w:tr>
      <w:tr>
        <w:trPr>
          <w:trHeight w:val="38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10.19.1</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First Amendment to Collaboration Agreement, dated April 20, 2022, by and between Amgen Inc. and BeiGene Switzerland GmbH, and</w:t>
              </w:r>
            </w:hyperlink>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 xml:space="preserve">BeiGene, Ltd. </w:t>
              </w:r>
              <w:r>
                <w:rPr>
                  <w:rFonts w:ascii="Times New Roman" w:cs="Times New Roman" w:eastAsia="Times New Roman" w:hAnsi="Times New Roman"/>
                  <w:sz w:val="16"/>
                  <w:szCs w:val="16"/>
                  <w:color w:val="000000"/>
                </w:rPr>
                <w:t>(portions of the exhibit have been omitted because they are both (i) not material and (ii) is the type of information that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40" w:type="dxa"/>
            <w:vAlign w:val="bottom"/>
          </w:tcPr>
          <w:p>
            <w:pPr>
              <w:spacing w:after="0"/>
              <w:rPr>
                <w:sz w:val="12"/>
                <w:szCs w:val="12"/>
                <w:color w:val="auto"/>
              </w:rPr>
            </w:pPr>
          </w:p>
        </w:tc>
        <w:tc>
          <w:tcPr>
            <w:tcW w:w="9820" w:type="dxa"/>
            <w:vAlign w:val="bottom"/>
            <w:gridSpan w:val="19"/>
          </w:tcPr>
          <w:p>
            <w:pPr>
              <w:spacing w:after="0" w:line="146" w:lineRule="exact"/>
              <w:rPr>
                <w:sz w:val="20"/>
                <w:szCs w:val="20"/>
                <w:color w:val="auto"/>
              </w:rPr>
            </w:pPr>
            <w:r>
              <w:rPr>
                <w:rFonts w:ascii="Times New Roman" w:cs="Times New Roman" w:eastAsia="Times New Roman" w:hAnsi="Times New Roman"/>
                <w:sz w:val="16"/>
                <w:szCs w:val="16"/>
                <w:color w:val="auto"/>
              </w:rPr>
              <w:t>Company treats as private or confidential.) (Filed as an exhibit to Form 10-Q for the quarter ended June 30, 2022 on August 5, 2022 and</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10.19.2</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Second Amendment to Collaboration Agreement, entered into as of February 26, 2023, by and between Amgen Inc. and BeiGene</w:t>
              </w:r>
            </w:hyperlink>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970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 xml:space="preserve">Switzerland GmbH, and BeiGene, Ltd. </w:t>
              </w:r>
              <w:r>
                <w:rPr>
                  <w:rFonts w:ascii="Times New Roman" w:cs="Times New Roman" w:eastAsia="Times New Roman" w:hAnsi="Times New Roman"/>
                  <w:sz w:val="16"/>
                  <w:szCs w:val="16"/>
                  <w:color w:val="000000"/>
                </w:rPr>
                <w:t>(portions of the exhibit have been omitted because they are both (i) not material and (ii) is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2800" w:type="dxa"/>
            <w:vAlign w:val="bottom"/>
            <w:tcBorders>
              <w:top w:val="single" w:sz="8" w:color="0000FF"/>
            </w:tcBorders>
            <w:gridSpan w:val="4"/>
          </w:tcPr>
          <w:p>
            <w:pPr>
              <w:spacing w:after="0" w:line="146" w:lineRule="exact"/>
              <w:rPr>
                <w:sz w:val="20"/>
                <w:szCs w:val="20"/>
                <w:color w:val="auto"/>
              </w:rPr>
            </w:pPr>
            <w:r>
              <w:rPr>
                <w:rFonts w:ascii="Times New Roman" w:cs="Times New Roman" w:eastAsia="Times New Roman" w:hAnsi="Times New Roman"/>
                <w:sz w:val="16"/>
                <w:szCs w:val="16"/>
                <w:color w:val="auto"/>
              </w:rPr>
              <w:t>type of information that the Company</w:t>
            </w:r>
          </w:p>
        </w:tc>
        <w:tc>
          <w:tcPr>
            <w:tcW w:w="7020" w:type="dxa"/>
            <w:vAlign w:val="bottom"/>
            <w:gridSpan w:val="15"/>
          </w:tcPr>
          <w:p>
            <w:pPr>
              <w:jc w:val="right"/>
              <w:ind w:right="120"/>
              <w:spacing w:after="0" w:line="146" w:lineRule="exact"/>
              <w:rPr>
                <w:sz w:val="20"/>
                <w:szCs w:val="20"/>
                <w:color w:val="auto"/>
              </w:rPr>
            </w:pPr>
            <w:r>
              <w:rPr>
                <w:rFonts w:ascii="Times New Roman" w:cs="Times New Roman" w:eastAsia="Times New Roman" w:hAnsi="Times New Roman"/>
                <w:sz w:val="16"/>
                <w:szCs w:val="16"/>
                <w:color w:val="auto"/>
              </w:rPr>
              <w:t>treats as private or confidential.) (Filed as an exhibit to Form 10-Q for the quarter ended March 31,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2023 on April 28, 2023 and incorporated herein by reference.)</w:t>
            </w: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 xml:space="preserve">Guarantee, dated as of October 31, 2019, made by and among BeiGene, Ltd. and Amgen Inc.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 exhibit to Form 10-K for the</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67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year ended December 31, 2019 on February 12, 2020 and incorporated herein by reference.)</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820" w:type="dxa"/>
            <w:vAlign w:val="bottom"/>
            <w:gridSpan w:val="19"/>
            <w:vMerge w:val="restart"/>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 xml:space="preserve">Share Purchase Agreement, dated October 31, 2019, by and between Amgen Inc. and BeiGene, Ltd. </w:t>
              </w:r>
            </w:hyperlink>
            <w:r>
              <w:rPr>
                <w:rFonts w:ascii="Times New Roman" w:cs="Times New Roman" w:eastAsia="Times New Roman" w:hAnsi="Times New Roman"/>
                <w:sz w:val="18"/>
                <w:szCs w:val="18"/>
                <w:color w:val="000000"/>
              </w:rPr>
              <w:t>(portions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exhibit have been</w:t>
            </w:r>
          </w:p>
        </w:tc>
        <w:tc>
          <w:tcPr>
            <w:tcW w:w="0" w:type="dxa"/>
            <w:vAlign w:val="bottom"/>
          </w:tcPr>
          <w:p>
            <w:pPr>
              <w:spacing w:after="0"/>
              <w:rPr>
                <w:sz w:val="1"/>
                <w:szCs w:val="1"/>
                <w:color w:val="auto"/>
              </w:rPr>
            </w:pPr>
          </w:p>
        </w:tc>
      </w:tr>
      <w:tr>
        <w:trPr>
          <w:trHeight w:val="40"/>
        </w:trPr>
        <w:tc>
          <w:tcPr>
            <w:tcW w:w="1440" w:type="dxa"/>
            <w:vAlign w:val="bottom"/>
          </w:tcPr>
          <w:p>
            <w:pPr>
              <w:spacing w:after="0"/>
              <w:rPr>
                <w:sz w:val="3"/>
                <w:szCs w:val="3"/>
                <w:color w:val="auto"/>
              </w:rPr>
            </w:pPr>
          </w:p>
        </w:tc>
        <w:tc>
          <w:tcPr>
            <w:tcW w:w="982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40" w:type="dxa"/>
            <w:vAlign w:val="bottom"/>
          </w:tcPr>
          <w:p>
            <w:pPr>
              <w:spacing w:after="0"/>
              <w:rPr>
                <w:sz w:val="18"/>
                <w:szCs w:val="18"/>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omitted because they are both (i) not material and (ii) would be competitively harmful if publicly disclosed). (Filed as an exhibit to</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Schedule 13D on January 8, 2020 and incorporated herein by reference.)</w:t>
            </w:r>
          </w:p>
        </w:tc>
        <w:tc>
          <w:tcPr>
            <w:tcW w:w="0" w:type="dxa"/>
            <w:vAlign w:val="bottom"/>
          </w:tcPr>
          <w:p>
            <w:pPr>
              <w:spacing w:after="0"/>
              <w:rPr>
                <w:sz w:val="1"/>
                <w:szCs w:val="1"/>
                <w:color w:val="auto"/>
              </w:rPr>
            </w:pPr>
          </w:p>
        </w:tc>
      </w:tr>
      <w:tr>
        <w:trPr>
          <w:trHeight w:val="36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10.21.1</w:t>
            </w:r>
          </w:p>
        </w:tc>
        <w:tc>
          <w:tcPr>
            <w:tcW w:w="9820" w:type="dxa"/>
            <w:vAlign w:val="bottom"/>
            <w:gridSpan w:val="19"/>
            <w:vMerge w:val="restart"/>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 xml:space="preserve">Amendment No. 1 to Share Purchase Agreement, dated December 6, 2019, by and among BeiGene, Ltd. and Amgen Inc.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w:t>
            </w:r>
          </w:p>
        </w:tc>
        <w:tc>
          <w:tcPr>
            <w:tcW w:w="0" w:type="dxa"/>
            <w:vAlign w:val="bottom"/>
          </w:tcPr>
          <w:p>
            <w:pPr>
              <w:spacing w:after="0"/>
              <w:rPr>
                <w:sz w:val="1"/>
                <w:szCs w:val="1"/>
                <w:color w:val="auto"/>
              </w:rPr>
            </w:pPr>
          </w:p>
        </w:tc>
      </w:tr>
      <w:tr>
        <w:trPr>
          <w:trHeight w:val="40"/>
        </w:trPr>
        <w:tc>
          <w:tcPr>
            <w:tcW w:w="1440" w:type="dxa"/>
            <w:vAlign w:val="bottom"/>
          </w:tcPr>
          <w:p>
            <w:pPr>
              <w:spacing w:after="0"/>
              <w:rPr>
                <w:sz w:val="3"/>
                <w:szCs w:val="3"/>
                <w:color w:val="auto"/>
              </w:rPr>
            </w:pPr>
          </w:p>
        </w:tc>
        <w:tc>
          <w:tcPr>
            <w:tcW w:w="982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87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exhibit to Schedule 13D on January 8, 2020 and incorporated herein by reference.)</w:t>
            </w:r>
          </w:p>
        </w:tc>
        <w:tc>
          <w:tcPr>
            <w:tcW w:w="10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10.21.2</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Restated Amendment No. 2 to Share Purchase Agreement, dated September 24, 2020, by and among BeiGene, Ltd. and Amgen Inc.</w:t>
              </w:r>
            </w:hyperlink>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97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auto"/>
                <w:w w:val="99"/>
              </w:rPr>
              <w:t>(Filed as an exhibit to Form 10-Q for the quarter ended September 30, 2020 on October 29, 2020 and incorporated herein by reference.)</w:t>
            </w: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10.21.3</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 xml:space="preserve">Amendment No. 3 to Share Purchase Agreement, dated January 30, 2023, by and among BeiGene, Ltd. and Amgen Inc.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an</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87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exhibit to Form 8-K on January 31, 2023 and incorporated herein by reference.)</w:t>
            </w:r>
          </w:p>
        </w:tc>
        <w:tc>
          <w:tcPr>
            <w:tcW w:w="92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Collaboration Agreement dated March 30, 2012 by and between Amgen Inc. and AstraZeneca Collaboration Ventures, LLC, a wholly</w:t>
              </w:r>
            </w:hyperlink>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974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 xml:space="preserve">owned subsidiary of AstraZeneca Pharmaceuticals LP </w:t>
              </w:r>
              <w:r>
                <w:rPr>
                  <w:rFonts w:ascii="Times New Roman" w:cs="Times New Roman" w:eastAsia="Times New Roman" w:hAnsi="Times New Roman"/>
                  <w:sz w:val="16"/>
                  <w:szCs w:val="16"/>
                  <w:color w:val="000000"/>
                </w:rPr>
                <w:t>(portions of the exhibit have been omitted because they are both (i) not material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3860" w:type="dxa"/>
            <w:vAlign w:val="bottom"/>
            <w:tcBorders>
              <w:top w:val="single" w:sz="8" w:color="0000FF"/>
            </w:tcBorders>
            <w:gridSpan w:val="6"/>
          </w:tcPr>
          <w:p>
            <w:pPr>
              <w:spacing w:after="0" w:line="146" w:lineRule="exact"/>
              <w:rPr>
                <w:sz w:val="20"/>
                <w:szCs w:val="20"/>
                <w:color w:val="auto"/>
              </w:rPr>
            </w:pPr>
            <w:r>
              <w:rPr>
                <w:rFonts w:ascii="Times New Roman" w:cs="Times New Roman" w:eastAsia="Times New Roman" w:hAnsi="Times New Roman"/>
                <w:sz w:val="16"/>
                <w:szCs w:val="16"/>
                <w:color w:val="auto"/>
              </w:rPr>
              <w:t>and (ii) is the type of information that the Company</w:t>
            </w:r>
          </w:p>
        </w:tc>
        <w:tc>
          <w:tcPr>
            <w:tcW w:w="5960" w:type="dxa"/>
            <w:vAlign w:val="bottom"/>
            <w:gridSpan w:val="13"/>
          </w:tcPr>
          <w:p>
            <w:pPr>
              <w:jc w:val="right"/>
              <w:ind w:right="140"/>
              <w:spacing w:after="0" w:line="146" w:lineRule="exact"/>
              <w:rPr>
                <w:sz w:val="20"/>
                <w:szCs w:val="20"/>
                <w:color w:val="auto"/>
              </w:rPr>
            </w:pPr>
            <w:r>
              <w:rPr>
                <w:rFonts w:ascii="Times New Roman" w:cs="Times New Roman" w:eastAsia="Times New Roman" w:hAnsi="Times New Roman"/>
                <w:sz w:val="16"/>
                <w:szCs w:val="16"/>
                <w:color w:val="auto"/>
              </w:rPr>
              <w:t>treats as private or confidential.) (Filed as an exhibit to Form 10-Q for the quarter</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ended June 30, 2022 on August 5, 2022 and incorporated herein by reference.)</w:t>
            </w: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10.22.1</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Amendment No. 1 to the Collaboration Agreement, dated October 1, 2014, by and among Amgen Inc., AstraZeneca Collaboration</w:t>
              </w:r>
            </w:hyperlink>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 xml:space="preserve">Ventures, LLC and AstraZeneca Pharmaceuticals LP </w:t>
              </w:r>
              <w:r>
                <w:rPr>
                  <w:rFonts w:ascii="Times New Roman" w:cs="Times New Roman" w:eastAsia="Times New Roman" w:hAnsi="Times New Roman"/>
                  <w:sz w:val="16"/>
                  <w:szCs w:val="16"/>
                  <w:color w:val="000000"/>
                </w:rPr>
                <w:t>(portions of the exhibit have been omitted because they are both (i) not material and</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3720" w:type="dxa"/>
            <w:vAlign w:val="bottom"/>
            <w:tcBorders>
              <w:top w:val="single" w:sz="8" w:color="0000FF"/>
            </w:tcBorders>
            <w:gridSpan w:val="5"/>
          </w:tcPr>
          <w:p>
            <w:pPr>
              <w:spacing w:after="0" w:line="146" w:lineRule="exact"/>
              <w:rPr>
                <w:sz w:val="20"/>
                <w:szCs w:val="20"/>
                <w:color w:val="auto"/>
              </w:rPr>
            </w:pPr>
            <w:r>
              <w:rPr>
                <w:rFonts w:ascii="Times New Roman" w:cs="Times New Roman" w:eastAsia="Times New Roman" w:hAnsi="Times New Roman"/>
                <w:sz w:val="16"/>
                <w:szCs w:val="16"/>
                <w:color w:val="auto"/>
              </w:rPr>
              <w:t>(ii) is the type of information that the Company treats</w:t>
            </w:r>
          </w:p>
        </w:tc>
        <w:tc>
          <w:tcPr>
            <w:tcW w:w="6100" w:type="dxa"/>
            <w:vAlign w:val="bottom"/>
            <w:gridSpan w:val="14"/>
          </w:tcPr>
          <w:p>
            <w:pPr>
              <w:jc w:val="right"/>
              <w:ind w:right="140"/>
              <w:spacing w:after="0" w:line="146" w:lineRule="exact"/>
              <w:rPr>
                <w:sz w:val="20"/>
                <w:szCs w:val="20"/>
                <w:color w:val="auto"/>
              </w:rPr>
            </w:pPr>
            <w:r>
              <w:rPr>
                <w:rFonts w:ascii="Times New Roman" w:cs="Times New Roman" w:eastAsia="Times New Roman" w:hAnsi="Times New Roman"/>
                <w:sz w:val="16"/>
                <w:szCs w:val="16"/>
                <w:color w:val="auto"/>
              </w:rPr>
              <w:t>as private or confidential.) (Filed as an exhibit to Form 10-Q for the quarter ended</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June 30, 2022 on August 5, 2022 and incorporated herein by reference.)</w:t>
            </w: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10.22.2</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Amendment Nos. 2 through 6 to the March 30, 2012 Collaboration Agreement between Amgen Inc. and AstraZeneca Collaboration</w:t>
              </w:r>
            </w:hyperlink>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 xml:space="preserve">Ventures, LLC, dated May 2 and 27 and October 2, 2016, January 31, 2018, and May 15, 2020, respectively </w:t>
              </w:r>
              <w:r>
                <w:rPr>
                  <w:rFonts w:ascii="Times New Roman" w:cs="Times New Roman" w:eastAsia="Times New Roman" w:hAnsi="Times New Roman"/>
                  <w:sz w:val="16"/>
                  <w:szCs w:val="16"/>
                  <w:color w:val="000000"/>
                </w:rPr>
                <w:t>(portions of the exhibit have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640" w:type="dxa"/>
            <w:vAlign w:val="bottom"/>
            <w:gridSpan w:val="9"/>
            <w:shd w:val="clear" w:color="auto" w:fill="0000FF"/>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40" w:type="dxa"/>
            <w:vAlign w:val="bottom"/>
          </w:tcPr>
          <w:p>
            <w:pPr>
              <w:spacing w:after="0"/>
              <w:rPr>
                <w:sz w:val="14"/>
                <w:szCs w:val="14"/>
                <w:color w:val="auto"/>
              </w:rPr>
            </w:pPr>
          </w:p>
        </w:tc>
        <w:tc>
          <w:tcPr>
            <w:tcW w:w="9820" w:type="dxa"/>
            <w:vAlign w:val="bottom"/>
            <w:gridSpan w:val="19"/>
          </w:tcPr>
          <w:p>
            <w:pPr>
              <w:spacing w:after="0" w:line="166" w:lineRule="exact"/>
              <w:rPr>
                <w:sz w:val="20"/>
                <w:szCs w:val="20"/>
                <w:color w:val="auto"/>
              </w:rPr>
            </w:pPr>
            <w:r>
              <w:rPr>
                <w:rFonts w:ascii="Times New Roman" w:cs="Times New Roman" w:eastAsia="Times New Roman" w:hAnsi="Times New Roman"/>
                <w:sz w:val="18"/>
                <w:szCs w:val="18"/>
                <w:color w:val="auto"/>
                <w:w w:val="99"/>
              </w:rPr>
              <w:t>been omitted because they are both (i) not material and (ii) would be competitively harmful if publicly disclosed.) (Filed as an exhibit to</w:t>
            </w:r>
          </w:p>
        </w:tc>
        <w:tc>
          <w:tcPr>
            <w:tcW w:w="0" w:type="dxa"/>
            <w:vAlign w:val="bottom"/>
          </w:tcPr>
          <w:p>
            <w:pPr>
              <w:spacing w:after="0"/>
              <w:rPr>
                <w:sz w:val="1"/>
                <w:szCs w:val="1"/>
                <w:color w:val="auto"/>
              </w:rPr>
            </w:pPr>
          </w:p>
        </w:tc>
      </w:tr>
    </w:tbl>
    <w:p>
      <w:pPr>
        <w:ind w:left="1440"/>
        <w:spacing w:after="0"/>
        <w:rPr>
          <w:sz w:val="20"/>
          <w:szCs w:val="20"/>
          <w:color w:val="auto"/>
        </w:rPr>
      </w:pPr>
      <w:r>
        <w:rPr>
          <w:rFonts w:ascii="Times New Roman" w:cs="Times New Roman" w:eastAsia="Times New Roman" w:hAnsi="Times New Roman"/>
          <w:sz w:val="18"/>
          <w:szCs w:val="18"/>
          <w:color w:val="auto"/>
        </w:rPr>
        <w:t>Form 10-Q for the quarter ended June 30, 2020 on July 29, 2020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93345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80" w:top="913" w:right="379" w:bottom="1440" w:gutter="0" w:footer="0" w:header="0"/>
        </w:sectPr>
      </w:pPr>
    </w:p>
    <w:bookmarkStart w:id="62" w:name="page63"/>
    <w:bookmarkEnd w:id="62"/>
    <w:tbl>
      <w:tblPr>
        <w:tblLayout w:type="fixed"/>
        <w:tblInd w:w="60" w:type="dxa"/>
        <w:tblCellMar>
          <w:top w:w="0" w:type="dxa"/>
          <w:left w:w="0" w:type="dxa"/>
          <w:bottom w:w="0" w:type="dxa"/>
          <w:right w:w="0" w:type="dxa"/>
        </w:tblCellMar>
      </w:tblP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10.22.3</w:t>
            </w:r>
          </w:p>
        </w:tc>
        <w:tc>
          <w:tcPr>
            <w:tcW w:w="9720" w:type="dxa"/>
            <w:vAlign w:val="bottom"/>
            <w:gridSpan w:val="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No. 7 to the Collaboration Agreement, dated December 17, 2020, by and between Amgen Inc. and AstraZeneca</w:t>
              </w:r>
            </w:hyperlink>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9680" w:type="dxa"/>
            <w:vAlign w:val="bottom"/>
            <w:tcBorders>
              <w:top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 xml:space="preserve">Collaboration Ventures, LLC </w:t>
              </w:r>
              <w:r>
                <w:rPr>
                  <w:rFonts w:ascii="Times New Roman" w:cs="Times New Roman" w:eastAsia="Times New Roman" w:hAnsi="Times New Roman"/>
                  <w:sz w:val="16"/>
                  <w:szCs w:val="16"/>
                  <w:color w:val="000000"/>
                </w:rPr>
                <w:t>(portions of the exhibit have been omitted because they are both (i) not material and (ii) would be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40" w:type="dxa"/>
            <w:vAlign w:val="bottom"/>
          </w:tcPr>
          <w:p>
            <w:pPr>
              <w:spacing w:after="0"/>
              <w:rPr>
                <w:sz w:val="12"/>
                <w:szCs w:val="12"/>
                <w:color w:val="auto"/>
              </w:rPr>
            </w:pPr>
          </w:p>
        </w:tc>
        <w:tc>
          <w:tcPr>
            <w:tcW w:w="9720" w:type="dxa"/>
            <w:vAlign w:val="bottom"/>
            <w:gridSpan w:val="6"/>
          </w:tcPr>
          <w:p>
            <w:pPr>
              <w:spacing w:after="0" w:line="146" w:lineRule="exact"/>
              <w:rPr>
                <w:sz w:val="20"/>
                <w:szCs w:val="20"/>
                <w:color w:val="auto"/>
              </w:rPr>
            </w:pPr>
            <w:r>
              <w:rPr>
                <w:rFonts w:ascii="Times New Roman" w:cs="Times New Roman" w:eastAsia="Times New Roman" w:hAnsi="Times New Roman"/>
                <w:sz w:val="16"/>
                <w:szCs w:val="16"/>
                <w:color w:val="auto"/>
              </w:rPr>
              <w:t>competitively harmful if publicly disclosed.) (Filed as an exhibit to Form 10-K for the year ended December 31, 2020 on February 9,</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2021 and incorporated herein by reference.)</w:t>
            </w: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10.22.4</w:t>
            </w:r>
          </w:p>
        </w:tc>
        <w:tc>
          <w:tcPr>
            <w:tcW w:w="9720" w:type="dxa"/>
            <w:vAlign w:val="bottom"/>
            <w:gridSpan w:val="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Amendment No. 8 to the Collaboration Agreement, dated November 19, 2021, by and between Amgen Inc. and AstraZeneca</w:t>
              </w:r>
            </w:hyperlink>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970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 xml:space="preserve">Collaboration Ventures, LLC </w:t>
              </w:r>
              <w:r>
                <w:rPr>
                  <w:rFonts w:ascii="Times New Roman" w:cs="Times New Roman" w:eastAsia="Times New Roman" w:hAnsi="Times New Roman"/>
                  <w:sz w:val="16"/>
                  <w:szCs w:val="16"/>
                  <w:color w:val="000000"/>
                </w:rPr>
                <w:t>(portions of the exhibit have been omitted because they are both (i) not material and (ii) is the type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2120" w:type="dxa"/>
            <w:vAlign w:val="bottom"/>
            <w:tcBorders>
              <w:top w:val="single" w:sz="8" w:color="0000FF"/>
            </w:tcBorders>
            <w:gridSpan w:val="2"/>
          </w:tcPr>
          <w:p>
            <w:pPr>
              <w:spacing w:after="0" w:line="146" w:lineRule="exact"/>
              <w:rPr>
                <w:sz w:val="20"/>
                <w:szCs w:val="20"/>
                <w:color w:val="auto"/>
              </w:rPr>
            </w:pPr>
            <w:r>
              <w:rPr>
                <w:rFonts w:ascii="Times New Roman" w:cs="Times New Roman" w:eastAsia="Times New Roman" w:hAnsi="Times New Roman"/>
                <w:sz w:val="16"/>
                <w:szCs w:val="16"/>
                <w:color w:val="auto"/>
              </w:rPr>
              <w:t>information that the Company</w:t>
            </w:r>
          </w:p>
        </w:tc>
        <w:tc>
          <w:tcPr>
            <w:tcW w:w="7600" w:type="dxa"/>
            <w:vAlign w:val="bottom"/>
            <w:gridSpan w:val="4"/>
          </w:tcPr>
          <w:p>
            <w:pPr>
              <w:ind w:left="60"/>
              <w:spacing w:after="0" w:line="146" w:lineRule="exact"/>
              <w:rPr>
                <w:sz w:val="20"/>
                <w:szCs w:val="20"/>
                <w:color w:val="auto"/>
              </w:rPr>
            </w:pPr>
            <w:r>
              <w:rPr>
                <w:rFonts w:ascii="Times New Roman" w:cs="Times New Roman" w:eastAsia="Times New Roman" w:hAnsi="Times New Roman"/>
                <w:sz w:val="16"/>
                <w:szCs w:val="16"/>
                <w:color w:val="auto"/>
              </w:rPr>
              <w:t>treats as private or confidential.) (Filed as an exhibit to Form 10-K for the year ended December 31, 2021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on February 16, 2022 and incorporated herein by reference.)</w:t>
            </w:r>
          </w:p>
        </w:tc>
        <w:tc>
          <w:tcPr>
            <w:tcW w:w="0" w:type="dxa"/>
            <w:vAlign w:val="bottom"/>
          </w:tcPr>
          <w:p>
            <w:pPr>
              <w:spacing w:after="0"/>
              <w:rPr>
                <w:sz w:val="1"/>
                <w:szCs w:val="1"/>
                <w:color w:val="auto"/>
              </w:rPr>
            </w:pPr>
          </w:p>
        </w:tc>
      </w:tr>
      <w:tr>
        <w:trPr>
          <w:trHeight w:val="34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10.22.5</w:t>
            </w:r>
          </w:p>
        </w:tc>
        <w:tc>
          <w:tcPr>
            <w:tcW w:w="9720" w:type="dxa"/>
            <w:vAlign w:val="bottom"/>
            <w:gridSpan w:val="6"/>
            <w:vMerge w:val="restart"/>
          </w:tcPr>
          <w:p>
            <w:pPr>
              <w:spacing w:after="0"/>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Letter Agreement Regarding the Collaboration Agreement, dated as of December 1, 2023, by and between Amgen Inc. and AstraZeneca</w:t>
              </w:r>
            </w:hyperlink>
          </w:p>
        </w:tc>
        <w:tc>
          <w:tcPr>
            <w:tcW w:w="0" w:type="dxa"/>
            <w:vAlign w:val="bottom"/>
          </w:tcPr>
          <w:p>
            <w:pPr>
              <w:spacing w:after="0"/>
              <w:rPr>
                <w:sz w:val="1"/>
                <w:szCs w:val="1"/>
                <w:color w:val="auto"/>
              </w:rPr>
            </w:pPr>
          </w:p>
        </w:tc>
      </w:tr>
      <w:tr>
        <w:trPr>
          <w:trHeight w:val="40"/>
        </w:trPr>
        <w:tc>
          <w:tcPr>
            <w:tcW w:w="1440" w:type="dxa"/>
            <w:vAlign w:val="bottom"/>
          </w:tcPr>
          <w:p>
            <w:pPr>
              <w:spacing w:after="0"/>
              <w:rPr>
                <w:sz w:val="3"/>
                <w:szCs w:val="3"/>
                <w:color w:val="auto"/>
              </w:rPr>
            </w:pPr>
          </w:p>
        </w:tc>
        <w:tc>
          <w:tcPr>
            <w:tcW w:w="97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9680" w:type="dxa"/>
            <w:vAlign w:val="bottom"/>
            <w:tcBorders>
              <w:top w:val="single" w:sz="8" w:color="0000FF"/>
            </w:tcBorders>
            <w:gridSpan w:val="4"/>
          </w:tcPr>
          <w:p>
            <w:pPr>
              <w:spacing w:after="0" w:line="191"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 xml:space="preserve">Collaboration Ventures, LLC </w:t>
              </w:r>
              <w:r>
                <w:rPr>
                  <w:rFonts w:ascii="Times New Roman" w:cs="Times New Roman" w:eastAsia="Times New Roman" w:hAnsi="Times New Roman"/>
                  <w:sz w:val="18"/>
                  <w:szCs w:val="18"/>
                  <w:color w:val="000000"/>
                </w:rPr>
                <w:t>(portions of the exhibit have been omitted because they are both (i) not material and (ii) is the type of</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Borders>
              <w:left w:val="single" w:sz="8" w:color="0000FF"/>
            </w:tcBorders>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information that the Company treats as private or confidential.) (Filed as an exhibit to Form 10-K for the year ended December 31, 2023</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on February 14, 2024 and incorporated herein by reference.)</w:t>
            </w:r>
          </w:p>
        </w:tc>
        <w:tc>
          <w:tcPr>
            <w:tcW w:w="0" w:type="dxa"/>
            <w:vAlign w:val="bottom"/>
          </w:tcPr>
          <w:p>
            <w:pPr>
              <w:spacing w:after="0"/>
              <w:rPr>
                <w:sz w:val="1"/>
                <w:szCs w:val="1"/>
                <w:color w:val="auto"/>
              </w:rPr>
            </w:pPr>
          </w:p>
        </w:tc>
      </w:tr>
      <w:tr>
        <w:trPr>
          <w:trHeight w:val="39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720" w:type="dxa"/>
            <w:vAlign w:val="bottom"/>
            <w:gridSpan w:val="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 xml:space="preserve">License and Collaboration Agreement, dated June 1, 2021, by and between Amgen Inc. and Kyowa Kirin Co., Ltd. </w:t>
              </w:r>
            </w:hyperlink>
            <w:r>
              <w:rPr>
                <w:rFonts w:ascii="Times New Roman" w:cs="Times New Roman" w:eastAsia="Times New Roman" w:hAnsi="Times New Roman"/>
                <w:sz w:val="18"/>
                <w:szCs w:val="18"/>
                <w:color w:val="000000"/>
              </w:rPr>
              <w:t>(portions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40" w:type="dxa"/>
            <w:vAlign w:val="bottom"/>
          </w:tcPr>
          <w:p>
            <w:pPr>
              <w:spacing w:after="0"/>
              <w:rPr>
                <w:sz w:val="12"/>
                <w:szCs w:val="12"/>
                <w:color w:val="auto"/>
              </w:rPr>
            </w:pPr>
          </w:p>
        </w:tc>
        <w:tc>
          <w:tcPr>
            <w:tcW w:w="9720" w:type="dxa"/>
            <w:vAlign w:val="bottom"/>
            <w:gridSpan w:val="6"/>
          </w:tcPr>
          <w:p>
            <w:pPr>
              <w:spacing w:after="0" w:line="138" w:lineRule="exact"/>
              <w:rPr>
                <w:sz w:val="20"/>
                <w:szCs w:val="20"/>
                <w:color w:val="auto"/>
              </w:rPr>
            </w:pPr>
            <w:r>
              <w:rPr>
                <w:rFonts w:ascii="Times New Roman" w:cs="Times New Roman" w:eastAsia="Times New Roman" w:hAnsi="Times New Roman"/>
                <w:sz w:val="16"/>
                <w:szCs w:val="16"/>
                <w:color w:val="auto"/>
              </w:rPr>
              <w:t>exhibit have been omitted because they are both (i) not material and (ii) is the type of information that the Company treats as private or</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9720" w:type="dxa"/>
            <w:vAlign w:val="bottom"/>
            <w:gridSpan w:val="6"/>
          </w:tcPr>
          <w:p>
            <w:pPr>
              <w:spacing w:after="0" w:line="180" w:lineRule="exact"/>
              <w:rPr>
                <w:sz w:val="20"/>
                <w:szCs w:val="20"/>
                <w:color w:val="auto"/>
              </w:rPr>
            </w:pPr>
            <w:r>
              <w:rPr>
                <w:rFonts w:ascii="Times New Roman" w:cs="Times New Roman" w:eastAsia="Times New Roman" w:hAnsi="Times New Roman"/>
                <w:sz w:val="18"/>
                <w:szCs w:val="18"/>
                <w:color w:val="auto"/>
              </w:rPr>
              <w:t>confidential). (Filed as an exhibit to Form 10-Q for the quarter ended June 30, 2021 on August 4, 2021 and incorporated herein by</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4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6"/>
              </w:rPr>
              <w:t>Rule 13a-14(a) Certifications.</w:t>
            </w:r>
          </w:p>
        </w:tc>
        <w:tc>
          <w:tcPr>
            <w:tcW w:w="76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440" w:type="dxa"/>
            <w:vAlign w:val="bottom"/>
          </w:tcPr>
          <w:p>
            <w:pPr>
              <w:spacing w:after="0"/>
              <w:rPr>
                <w:sz w:val="3"/>
                <w:szCs w:val="3"/>
                <w:color w:val="auto"/>
              </w:rPr>
            </w:pPr>
          </w:p>
        </w:tc>
        <w:tc>
          <w:tcPr>
            <w:tcW w:w="2120" w:type="dxa"/>
            <w:vAlign w:val="bottom"/>
            <w:tcBorders>
              <w:bottom w:val="single" w:sz="8" w:color="0000FF"/>
            </w:tcBorders>
            <w:gridSpan w:val="2"/>
            <w:vMerge w:val="continue"/>
          </w:tcPr>
          <w:p>
            <w:pPr>
              <w:spacing w:after="0"/>
              <w:rPr>
                <w:sz w:val="3"/>
                <w:szCs w:val="3"/>
                <w:color w:val="auto"/>
              </w:rPr>
            </w:pPr>
          </w:p>
        </w:tc>
        <w:tc>
          <w:tcPr>
            <w:tcW w:w="7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8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Section 1350 Certifications.</w:t>
            </w:r>
          </w:p>
        </w:tc>
        <w:tc>
          <w:tcPr>
            <w:tcW w:w="774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440" w:type="dxa"/>
            <w:vAlign w:val="bottom"/>
          </w:tcPr>
          <w:p>
            <w:pPr>
              <w:spacing w:after="0"/>
              <w:rPr>
                <w:sz w:val="3"/>
                <w:szCs w:val="3"/>
                <w:color w:val="auto"/>
              </w:rPr>
            </w:pPr>
          </w:p>
        </w:tc>
        <w:tc>
          <w:tcPr>
            <w:tcW w:w="1980" w:type="dxa"/>
            <w:vAlign w:val="bottom"/>
            <w:tcBorders>
              <w:bottom w:val="single" w:sz="8" w:color="0000FF"/>
            </w:tcBorders>
            <w:vMerge w:val="continue"/>
          </w:tcPr>
          <w:p>
            <w:pPr>
              <w:spacing w:after="0"/>
              <w:rPr>
                <w:sz w:val="3"/>
                <w:szCs w:val="3"/>
                <w:color w:val="auto"/>
              </w:rPr>
            </w:pPr>
          </w:p>
        </w:tc>
        <w:tc>
          <w:tcPr>
            <w:tcW w:w="77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2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filed herewith)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furnished herewith and not “filed” for purposes of Section 18 of the Securities Exchange Act of 1934, as amended)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93345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12" w:right="379" w:bottom="1440" w:gutter="0" w:footer="0" w:header="0"/>
        </w:sectPr>
      </w:pPr>
    </w:p>
    <w:bookmarkStart w:id="63" w:name="page64"/>
    <w:bookmarkEnd w:id="63"/>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1"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3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Amgen Inc.</w:t>
      </w:r>
    </w:p>
    <w:p>
      <w:pPr>
        <w:spacing w:after="0" w:line="2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77" w:lineRule="exact"/>
        <w:rPr>
          <w:sz w:val="20"/>
          <w:szCs w:val="20"/>
          <w:color w:val="auto"/>
        </w:rPr>
      </w:pPr>
    </w:p>
    <w:p>
      <w:pPr>
        <w:ind w:left="420"/>
        <w:spacing w:after="0"/>
        <w:tabs>
          <w:tab w:leader="none" w:pos="1000" w:val="left"/>
          <w:tab w:leader="none" w:pos="5540" w:val="left"/>
          <w:tab w:leader="none" w:pos="8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PETER H.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22860</wp:posOffset>
            </wp:positionV>
            <wp:extent cx="29933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9">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17"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Peter H. Griffith</w:t>
      </w:r>
    </w:p>
    <w:p>
      <w:pPr>
        <w:spacing w:after="0" w:line="37"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37"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87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3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Bradway, Chairman of the Board, Chief Executive Officer and President of Amgen Inc., certify that:</w:t>
      </w:r>
    </w:p>
    <w:p>
      <w:pPr>
        <w:spacing w:after="0" w:line="136"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Amgen Inc.;</w:t>
      </w:r>
    </w:p>
    <w:p>
      <w:pPr>
        <w:spacing w:after="0" w:line="149"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3"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9"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8"/>
          <w:szCs w:val="18"/>
          <w:color w:val="auto"/>
        </w:rPr>
      </w:pPr>
    </w:p>
    <w:p>
      <w:pPr>
        <w:jc w:val="both"/>
        <w:ind w:left="640" w:hanging="318"/>
        <w:spacing w:after="0" w:line="257" w:lineRule="auto"/>
        <w:tabs>
          <w:tab w:leader="none" w:pos="63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3" w:lineRule="exact"/>
        <w:rPr>
          <w:rFonts w:ascii="Times New Roman" w:cs="Times New Roman" w:eastAsia="Times New Roman" w:hAnsi="Times New Roman"/>
          <w:sz w:val="18"/>
          <w:szCs w:val="18"/>
          <w:color w:val="auto"/>
        </w:rPr>
      </w:pPr>
    </w:p>
    <w:p>
      <w:pPr>
        <w:jc w:val="both"/>
        <w:ind w:left="640" w:hanging="318"/>
        <w:spacing w:after="0" w:line="257" w:lineRule="auto"/>
        <w:tabs>
          <w:tab w:leader="none" w:pos="63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8"/>
          <w:szCs w:val="18"/>
          <w:color w:val="auto"/>
        </w:rPr>
      </w:pPr>
    </w:p>
    <w:p>
      <w:pPr>
        <w:ind w:left="640" w:hanging="318"/>
        <w:spacing w:after="0" w:line="269" w:lineRule="auto"/>
        <w:tabs>
          <w:tab w:leader="none" w:pos="63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103" w:lineRule="exact"/>
        <w:rPr>
          <w:rFonts w:ascii="Times New Roman" w:cs="Times New Roman" w:eastAsia="Times New Roman" w:hAnsi="Times New Roman"/>
          <w:sz w:val="18"/>
          <w:szCs w:val="18"/>
          <w:color w:val="auto"/>
        </w:rPr>
      </w:pPr>
    </w:p>
    <w:p>
      <w:pPr>
        <w:jc w:val="both"/>
        <w:ind w:left="640" w:hanging="318"/>
        <w:spacing w:after="0" w:line="257" w:lineRule="auto"/>
        <w:tabs>
          <w:tab w:leader="none" w:pos="63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Times New Roman" w:cs="Times New Roman" w:eastAsia="Times New Roman" w:hAnsi="Times New Roman"/>
          <w:sz w:val="18"/>
          <w:szCs w:val="18"/>
          <w:color w:val="auto"/>
        </w:rPr>
      </w:pPr>
    </w:p>
    <w:p>
      <w:pPr>
        <w:ind w:left="640" w:hanging="318"/>
        <w:spacing w:after="0" w:line="269" w:lineRule="auto"/>
        <w:tabs>
          <w:tab w:leader="none" w:pos="63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640" w:right="20" w:hanging="318"/>
        <w:spacing w:after="0" w:line="269" w:lineRule="auto"/>
        <w:tabs>
          <w:tab w:leader="none" w:pos="63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21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A. BRADWAY</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2"/>
        </w:trPr>
        <w:tc>
          <w:tcPr>
            <w:tcW w:w="1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Bradway</w:t>
            </w:r>
          </w:p>
        </w:tc>
      </w:tr>
      <w:tr>
        <w:trPr>
          <w:trHeight w:val="224"/>
        </w:trPr>
        <w:tc>
          <w:tcPr>
            <w:tcW w:w="1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9"/>
        </w:trPr>
        <w:tc>
          <w:tcPr>
            <w:tcW w:w="1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857"/>
        </w:trPr>
        <w:tc>
          <w:tcPr>
            <w:tcW w:w="1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780" w:type="dxa"/>
            <w:vAlign w:val="bottom"/>
            <w:gridSpan w:val="2"/>
          </w:tcPr>
          <w:p>
            <w:pPr>
              <w:jc w:val="right"/>
              <w:ind w:right="5452"/>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9" w:right="339" w:bottom="1440" w:gutter="0" w:footer="0" w:header="0"/>
        </w:sectPr>
      </w:pPr>
    </w:p>
    <w:bookmarkStart w:id="65" w:name="page66"/>
    <w:bookmarkEnd w:id="65"/>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Griffith, Executive Vice President and Chief Financial Officer of Amgen Inc., certify that:</w:t>
      </w:r>
    </w:p>
    <w:p>
      <w:pPr>
        <w:spacing w:after="0" w:line="136"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Amgen Inc.;</w:t>
      </w:r>
    </w:p>
    <w:p>
      <w:pPr>
        <w:spacing w:after="0" w:line="149"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3"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9"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8"/>
          <w:szCs w:val="18"/>
          <w:color w:val="auto"/>
        </w:rPr>
      </w:pPr>
    </w:p>
    <w:p>
      <w:pPr>
        <w:jc w:val="both"/>
        <w:ind w:left="640" w:hanging="318"/>
        <w:spacing w:after="0" w:line="257" w:lineRule="auto"/>
        <w:tabs>
          <w:tab w:leader="none" w:pos="63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3" w:lineRule="exact"/>
        <w:rPr>
          <w:rFonts w:ascii="Times New Roman" w:cs="Times New Roman" w:eastAsia="Times New Roman" w:hAnsi="Times New Roman"/>
          <w:sz w:val="18"/>
          <w:szCs w:val="18"/>
          <w:color w:val="auto"/>
        </w:rPr>
      </w:pPr>
    </w:p>
    <w:p>
      <w:pPr>
        <w:jc w:val="both"/>
        <w:ind w:left="640" w:hanging="318"/>
        <w:spacing w:after="0" w:line="257" w:lineRule="auto"/>
        <w:tabs>
          <w:tab w:leader="none" w:pos="63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8"/>
          <w:szCs w:val="18"/>
          <w:color w:val="auto"/>
        </w:rPr>
      </w:pPr>
    </w:p>
    <w:p>
      <w:pPr>
        <w:ind w:left="640" w:hanging="318"/>
        <w:spacing w:after="0" w:line="269" w:lineRule="auto"/>
        <w:tabs>
          <w:tab w:leader="none" w:pos="63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103" w:lineRule="exact"/>
        <w:rPr>
          <w:rFonts w:ascii="Times New Roman" w:cs="Times New Roman" w:eastAsia="Times New Roman" w:hAnsi="Times New Roman"/>
          <w:sz w:val="18"/>
          <w:szCs w:val="18"/>
          <w:color w:val="auto"/>
        </w:rPr>
      </w:pPr>
    </w:p>
    <w:p>
      <w:pPr>
        <w:jc w:val="both"/>
        <w:ind w:left="640" w:hanging="318"/>
        <w:spacing w:after="0" w:line="257" w:lineRule="auto"/>
        <w:tabs>
          <w:tab w:leader="none" w:pos="63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Times New Roman" w:cs="Times New Roman" w:eastAsia="Times New Roman" w:hAnsi="Times New Roman"/>
          <w:sz w:val="18"/>
          <w:szCs w:val="18"/>
          <w:color w:val="auto"/>
        </w:rPr>
      </w:pPr>
    </w:p>
    <w:p>
      <w:pPr>
        <w:ind w:left="640" w:hanging="318"/>
        <w:spacing w:after="0" w:line="269" w:lineRule="auto"/>
        <w:tabs>
          <w:tab w:leader="none" w:pos="63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640" w:right="20" w:hanging="318"/>
        <w:spacing w:after="0" w:line="269" w:lineRule="auto"/>
        <w:tabs>
          <w:tab w:leader="none" w:pos="63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21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H. GRIFFITH</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2"/>
        </w:trPr>
        <w:tc>
          <w:tcPr>
            <w:tcW w:w="1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Griffith</w:t>
            </w:r>
          </w:p>
        </w:tc>
      </w:tr>
      <w:tr>
        <w:trPr>
          <w:trHeight w:val="229"/>
        </w:trPr>
        <w:tc>
          <w:tcPr>
            <w:tcW w:w="1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857"/>
        </w:trPr>
        <w:tc>
          <w:tcPr>
            <w:tcW w:w="1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780" w:type="dxa"/>
            <w:vAlign w:val="bottom"/>
            <w:gridSpan w:val="2"/>
          </w:tcPr>
          <w:p>
            <w:pPr>
              <w:jc w:val="right"/>
              <w:ind w:right="5452"/>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87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18" w:lineRule="exact"/>
        <w:rPr>
          <w:sz w:val="20"/>
          <w:szCs w:val="20"/>
          <w:color w:val="auto"/>
        </w:rPr>
      </w:pPr>
    </w:p>
    <w:p>
      <w:pPr>
        <w:ind w:left="720" w:hanging="319"/>
        <w:spacing w:after="0" w:line="269" w:lineRule="auto"/>
        <w:tabs>
          <w:tab w:leader="none" w:pos="7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September 30, 2024 (the “Report”) fully complies with the requirements of Section 13(a) or Section 15(d), as applicable,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700" w:hanging="299"/>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ROBERT A. BRADWAY</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2"/>
        </w:trPr>
        <w:tc>
          <w:tcPr>
            <w:tcW w:w="1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Robert A. Bradway</w:t>
            </w:r>
          </w:p>
        </w:tc>
      </w:tr>
      <w:tr>
        <w:trPr>
          <w:trHeight w:val="224"/>
        </w:trPr>
        <w:tc>
          <w:tcPr>
            <w:tcW w:w="1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Chairman of the Board,</w:t>
            </w:r>
          </w:p>
        </w:tc>
      </w:tr>
      <w:tr>
        <w:trPr>
          <w:trHeight w:val="229"/>
        </w:trPr>
        <w:tc>
          <w:tcPr>
            <w:tcW w:w="1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Executive Officer and President</w:t>
            </w:r>
          </w:p>
        </w:tc>
      </w:tr>
    </w:tbl>
    <w:p>
      <w:pPr>
        <w:spacing w:after="0" w:line="200" w:lineRule="exact"/>
        <w:rPr>
          <w:sz w:val="20"/>
          <w:szCs w:val="20"/>
          <w:color w:val="auto"/>
        </w:rPr>
      </w:pPr>
    </w:p>
    <w:p>
      <w:pPr>
        <w:spacing w:after="0" w:line="257" w:lineRule="exact"/>
        <w:rPr>
          <w:sz w:val="20"/>
          <w:szCs w:val="20"/>
          <w:color w:val="auto"/>
        </w:rPr>
      </w:pPr>
    </w:p>
    <w:p>
      <w:pPr>
        <w:jc w:val="both"/>
        <w:ind w:firstLine="435"/>
        <w:spacing w:after="0" w:line="25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18" w:lineRule="exact"/>
        <w:rPr>
          <w:sz w:val="20"/>
          <w:szCs w:val="20"/>
          <w:color w:val="auto"/>
        </w:rPr>
      </w:pPr>
    </w:p>
    <w:p>
      <w:pPr>
        <w:ind w:left="720" w:hanging="319"/>
        <w:spacing w:after="0" w:line="269" w:lineRule="auto"/>
        <w:tabs>
          <w:tab w:leader="none" w:pos="7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September 30, 2024 (the “Report”) fully complies with the requirements of Section 13(a) or Section 15(d), as applicable,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700" w:hanging="299"/>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PETER H. GRIFFITH</w:t>
            </w: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2"/>
        </w:trPr>
        <w:tc>
          <w:tcPr>
            <w:tcW w:w="1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Peter H. Griffith</w:t>
            </w:r>
          </w:p>
        </w:tc>
      </w:tr>
      <w:tr>
        <w:trPr>
          <w:trHeight w:val="229"/>
        </w:trPr>
        <w:tc>
          <w:tcPr>
            <w:tcW w:w="1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r>
    </w:tbl>
    <w:p>
      <w:pPr>
        <w:spacing w:after="0" w:line="200" w:lineRule="exact"/>
        <w:rPr>
          <w:sz w:val="20"/>
          <w:szCs w:val="20"/>
          <w:color w:val="auto"/>
        </w:rPr>
      </w:pPr>
    </w:p>
    <w:p>
      <w:pPr>
        <w:spacing w:after="0" w:line="257" w:lineRule="exact"/>
        <w:rPr>
          <w:sz w:val="20"/>
          <w:szCs w:val="20"/>
          <w:color w:val="auto"/>
        </w:rPr>
      </w:pPr>
    </w:p>
    <w:p>
      <w:pPr>
        <w:jc w:val="both"/>
        <w:ind w:firstLine="435"/>
        <w:spacing w:after="0" w:line="25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Roman"/>
      <w:start w:val="3"/>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0" Type="http://schemas.openxmlformats.org/officeDocument/2006/relationships/image" Target="media/image67.png"/><Relationship Id="rId107" Type="http://schemas.openxmlformats.org/officeDocument/2006/relationships/image" Target="media/image68.png"/><Relationship Id="rId124" Type="http://schemas.openxmlformats.org/officeDocument/2006/relationships/image" Target="media/image69.png"/><Relationship Id="rId139" Type="http://schemas.openxmlformats.org/officeDocument/2006/relationships/image" Target="media/image70.png"/><Relationship Id="rId153" Type="http://schemas.openxmlformats.org/officeDocument/2006/relationships/image" Target="media/image71.png"/><Relationship Id="rId158" Type="http://schemas.openxmlformats.org/officeDocument/2006/relationships/image" Target="media/image72.png"/><Relationship Id="rId159" Type="http://schemas.openxmlformats.org/officeDocument/2006/relationships/image" Target="media/image73.png"/><Relationship Id="rId74" Type="http://schemas.openxmlformats.org/officeDocument/2006/relationships/hyperlink" Target="https://www.sec.gov/Archives/edgar/data/318154/000031815421000045/amgn-ex27_202193021xq3.htm" TargetMode="External"/><Relationship Id="rId75" Type="http://schemas.openxmlformats.org/officeDocument/2006/relationships/hyperlink" Target="https://www.sec.gov/Archives/edgar/data/318154/000119312522211860/d346334dex21.htm" TargetMode="External"/><Relationship Id="rId76" Type="http://schemas.openxmlformats.org/officeDocument/2006/relationships/hyperlink" Target="https://www.sec.gov/Archives/edgar/data/318154/000119312522302256/d346985dex21.htm" TargetMode="External"/><Relationship Id="rId77" Type="http://schemas.openxmlformats.org/officeDocument/2006/relationships/hyperlink" Target="https://www.sec.gov/Archives/edgar/data/318154/000119312522302256/d346985dex22.htm" TargetMode="External"/><Relationship Id="rId78" Type="http://schemas.openxmlformats.org/officeDocument/2006/relationships/hyperlink" Target="https://www.sec.gov/Archives/edgar/data/318154/000144530513001107/amgn-exh31_2013331xq1.htm" TargetMode="External"/><Relationship Id="rId79" Type="http://schemas.openxmlformats.org/officeDocument/2006/relationships/hyperlink" Target="https://www.sec.gov/Archives/edgar/data/318154/000119312516466178/d46204dex31.htm" TargetMode="External"/><Relationship Id="rId80" Type="http://schemas.openxmlformats.org/officeDocument/2006/relationships/hyperlink" Target="https://www.sec.gov/Archives/edgar/data/318154/0000318154-97-000008.txt" TargetMode="External"/><Relationship Id="rId81" Type="http://schemas.openxmlformats.org/officeDocument/2006/relationships/hyperlink" Target="https://www.sec.gov/Archives/edgar/data/318154/000119312508040431/dex43.htm" TargetMode="External"/><Relationship Id="rId82" Type="http://schemas.openxmlformats.org/officeDocument/2006/relationships/hyperlink" Target="https://www.sec.gov/Archives/edgar/data/318154/0000898430-97-001006.txt" TargetMode="External"/><Relationship Id="rId83" Type="http://schemas.openxmlformats.org/officeDocument/2006/relationships/hyperlink" Target="https://www.sec.gov/Archives/edgar/data/318154/0000898430-97-001433.txt" TargetMode="External"/><Relationship Id="rId84" Type="http://schemas.openxmlformats.org/officeDocument/2006/relationships/hyperlink" Target="https://www.sec.gov/Archives/edgar/data/318154/000104746903026118/a2115639zex-4_1.htm" TargetMode="External"/><Relationship Id="rId85" Type="http://schemas.openxmlformats.org/officeDocument/2006/relationships/hyperlink" Target="https://www.sec.gov/Archives/edgar/data/318154/0000318154-98-000005.txt" TargetMode="External"/><Relationship Id="rId86" Type="http://schemas.openxmlformats.org/officeDocument/2006/relationships/hyperlink" Target="https://www.sec.gov/Archives/edgar/data/318154/000119312507126045/dex42.htm" TargetMode="External"/><Relationship Id="rId87" Type="http://schemas.openxmlformats.org/officeDocument/2006/relationships/hyperlink" Target="https://www.sec.gov/Archives/edgar/data/318154/000119312508121768/dex42.htm" TargetMode="External"/><Relationship Id="rId88" Type="http://schemas.openxmlformats.org/officeDocument/2006/relationships/hyperlink" Target="https://www.sec.gov/Archives/edgar/data/318154/000119312509007552/dex42.htm" TargetMode="External"/><Relationship Id="rId89" Type="http://schemas.openxmlformats.org/officeDocument/2006/relationships/hyperlink" Target="https://www.sec.gov/Archives/edgar/data/318154/000119312510055545/dex42.htm" TargetMode="External"/><Relationship Id="rId91" Type="http://schemas.openxmlformats.org/officeDocument/2006/relationships/hyperlink" Target="https://www.sec.gov/Archives/edgar/data/318154/000119312510211595/dex42.htm" TargetMode="External"/><Relationship Id="rId92" Type="http://schemas.openxmlformats.org/officeDocument/2006/relationships/hyperlink" Target="https://www.sec.gov/Archives/edgar/data/318154/000119312511178620/dex42.htm" TargetMode="External"/><Relationship Id="rId93" Type="http://schemas.openxmlformats.org/officeDocument/2006/relationships/hyperlink" Target="https://www.sec.gov/Archives/edgar/data/318154/000119312511306300/d254287dex42.htm" TargetMode="External"/><Relationship Id="rId94" Type="http://schemas.openxmlformats.org/officeDocument/2006/relationships/hyperlink" Target="https://www.sec.gov/Archives/edgar/data/318154/000119312511329468/d265264dex42.htm" TargetMode="External"/><Relationship Id="rId95" Type="http://schemas.openxmlformats.org/officeDocument/2006/relationships/hyperlink" Target="https://www.sec.gov/Archives/edgar/data/318154/000119312512234621/d352967dex42.htm" TargetMode="External"/><Relationship Id="rId96" Type="http://schemas.openxmlformats.org/officeDocument/2006/relationships/hyperlink" Target="https://www.sec.gov/Archives/edgar/data/318154/000119312512390074/d410209dex42.htm" TargetMode="External"/><Relationship Id="rId97" Type="http://schemas.openxmlformats.org/officeDocument/2006/relationships/hyperlink" Target="https://www.sec.gov/Archives/edgar/data/318154/000119312514209848/d732359dex41.htm" TargetMode="External"/><Relationship Id="rId98" Type="http://schemas.openxmlformats.org/officeDocument/2006/relationships/hyperlink" Target="https://www.sec.gov/Archives/edgar/data/318154/000119312515165541/d919213dex42.htm" TargetMode="External"/><Relationship Id="rId99" Type="http://schemas.openxmlformats.org/officeDocument/2006/relationships/hyperlink" Target="https://www.sec.gov/Archives/edgar/data/318154/000119312516476783/d129782dex42.htm" TargetMode="External"/><Relationship Id="rId100" Type="http://schemas.openxmlformats.org/officeDocument/2006/relationships/hyperlink" Target="https://www.sec.gov/Archives/edgar/data/318154/000119312516621372/d203675dex42.htm" TargetMode="External"/><Relationship Id="rId101" Type="http://schemas.openxmlformats.org/officeDocument/2006/relationships/hyperlink" Target="https://www.sec.gov/Archives/edgar/data/318154/000119312516686451/d187158dex43.htm" TargetMode="External"/><Relationship Id="rId102" Type="http://schemas.openxmlformats.org/officeDocument/2006/relationships/hyperlink" Target="https://www.sec.gov/Archives/edgar/data/318154/000119312517331065/d472956dex42.htm" TargetMode="External"/><Relationship Id="rId103" Type="http://schemas.openxmlformats.org/officeDocument/2006/relationships/hyperlink" Target="https://www.sec.gov/Archives/edgar/data/318154/000119312520044757/d894000dex42.htm" TargetMode="External"/><Relationship Id="rId104" Type="http://schemas.openxmlformats.org/officeDocument/2006/relationships/hyperlink" Target="https://www.sec.gov/Archives/edgar/data/318154/000119312520134934/d925911dex43.htm" TargetMode="External"/><Relationship Id="rId105" Type="http://schemas.openxmlformats.org/officeDocument/2006/relationships/hyperlink" Target="https://www.sec.gov/Archives/edgar/data/318154/000119312520222579/d60848dex42.htm" TargetMode="External"/><Relationship Id="rId106" Type="http://schemas.openxmlformats.org/officeDocument/2006/relationships/hyperlink" Target="https://www.sec.gov/Archives/edgar/data/318154/000119312521240434/d213858dex42.htm" TargetMode="External"/><Relationship Id="rId108" Type="http://schemas.openxmlformats.org/officeDocument/2006/relationships/hyperlink" Target="https://www.sec.gov/Archives/edgar/data/318154/000119312522048514/d302710dex42.htm" TargetMode="External"/><Relationship Id="rId109" Type="http://schemas.openxmlformats.org/officeDocument/2006/relationships/hyperlink" Target="https://www.sec.gov/Archives/edgar/data/318154/000119312522224115/d280175dex42.htm" TargetMode="External"/><Relationship Id="rId110" Type="http://schemas.openxmlformats.org/officeDocument/2006/relationships/hyperlink" Target="https://www.sec.gov/Archives/edgar/data/318154/000119312523058235/d448346dex42.htm" TargetMode="External"/><Relationship Id="rId111" Type="http://schemas.openxmlformats.org/officeDocument/2006/relationships/hyperlink" Target="https://www.sec.gov/Archives/edgar/data/318154/000031815424000011/exhibit433-descriptionofse.htm" TargetMode="External"/><Relationship Id="rId112" Type="http://schemas.openxmlformats.org/officeDocument/2006/relationships/hyperlink" Target="https://www.sec.gov/Archives/edgar/data/318154/000119312524099062/d445034ddef14a.htm#toc445034_61a" TargetMode="External"/><Relationship Id="rId113" Type="http://schemas.openxmlformats.org/officeDocument/2006/relationships/hyperlink" Target="https://www.sec.gov/Archives/edgar/data/318154/000031815424000035/exhibit102-formofgrantstoc.htm" TargetMode="External"/><Relationship Id="rId114" Type="http://schemas.openxmlformats.org/officeDocument/2006/relationships/hyperlink" Target="https://www.sec.gov/Archives/edgar/data/318154/000031815424000035/exhibit103-formofrestricte.htm" TargetMode="External"/><Relationship Id="rId115" Type="http://schemas.openxmlformats.org/officeDocument/2006/relationships/hyperlink" Target="https://www.sec.gov/Archives/edgar/data/318154/000031815424000035/exhibit104-amgeninc2009per.htm" TargetMode="External"/><Relationship Id="rId116" Type="http://schemas.openxmlformats.org/officeDocument/2006/relationships/hyperlink" Target="https://www.sec.gov/Archives/edgar/data/318154/000031815424000035/exhibit105-formofperforman.htm" TargetMode="External"/><Relationship Id="rId117" Type="http://schemas.openxmlformats.org/officeDocument/2006/relationships/hyperlink" Target="https://www.sec.gov/Archives/edgar/data/318154/000031815424000035/exhibit106-amgeninc2009dir.htm" TargetMode="External"/><Relationship Id="rId118" Type="http://schemas.openxmlformats.org/officeDocument/2006/relationships/hyperlink" Target="https://www.sec.gov/Archives/edgar/data/318154/000031815424000035/exhibit107-formofrestricte.htm" TargetMode="External"/><Relationship Id="rId119" Type="http://schemas.openxmlformats.org/officeDocument/2006/relationships/hyperlink" Target="https://www.sec.gov/Archives/edgar/data/318154/000031815424000035/exhibit108-formofcashxsett.htm" TargetMode="External"/><Relationship Id="rId120" Type="http://schemas.openxmlformats.org/officeDocument/2006/relationships/hyperlink" Target="https://www.sec.gov/Archives/edgar/data/318154/000031815414000004/amgn-ex109_20131231x10k.htm" TargetMode="External"/><Relationship Id="rId121" Type="http://schemas.openxmlformats.org/officeDocument/2006/relationships/hyperlink" Target="https://www.sec.gov/Archives/edgar/data/318154/000031815416000053/amgn-ex1012_2016930xq3.htm" TargetMode="External"/><Relationship Id="rId122" Type="http://schemas.openxmlformats.org/officeDocument/2006/relationships/hyperlink" Target="https://www.sec.gov/Archives/edgar/data/318154/000031815420000017/a1014-secondamendmento.htm" TargetMode="External"/><Relationship Id="rId123" Type="http://schemas.openxmlformats.org/officeDocument/2006/relationships/hyperlink" Target="https://www.sec.gov/Archives/edgar/data/318154/000031815422000010/amgn-ex1015_20211231xq4.htm" TargetMode="External"/><Relationship Id="rId125" Type="http://schemas.openxmlformats.org/officeDocument/2006/relationships/hyperlink" Target="https://www.sec.gov/Archives/edgar/data/318154/000031815423000017/exhibit10114-fourthamendme.htm" TargetMode="External"/><Relationship Id="rId126" Type="http://schemas.openxmlformats.org/officeDocument/2006/relationships/hyperlink" Target="https://www.sec.gov/Archives/edgar/data/318154/000031815424000011/exhibit1095-fifthamendment.htm" TargetMode="External"/><Relationship Id="rId127" Type="http://schemas.openxmlformats.org/officeDocument/2006/relationships/hyperlink" Target="https://www.sec.gov/Archives/edgar/data/318154/000095012311048073/v58996exv10w9.htm" TargetMode="External"/><Relationship Id="rId128" Type="http://schemas.openxmlformats.org/officeDocument/2006/relationships/hyperlink" Target="https://www.sec.gov/Archives/edgar/data/318154/000031815422000021/amgn-ex1017_2022331xq1.htm" TargetMode="External"/><Relationship Id="rId129" Type="http://schemas.openxmlformats.org/officeDocument/2006/relationships/hyperlink" Target="https://www.sec.gov/Archives/edgar/data/318154/000031815414000004/amgn-ex1015_20131231x10k.htm" TargetMode="External"/><Relationship Id="rId130" Type="http://schemas.openxmlformats.org/officeDocument/2006/relationships/hyperlink" Target="https://www.sec.gov/Archives/edgar/data/318154/000031815416000053/amgn-ex1017_2016930xq3.htm" TargetMode="External"/><Relationship Id="rId131" Type="http://schemas.openxmlformats.org/officeDocument/2006/relationships/hyperlink" Target="https://www.sec.gov/Archives/edgar/data/318154/000031815420000017/a1021-secondamendmentt.htm" TargetMode="External"/><Relationship Id="rId132" Type="http://schemas.openxmlformats.org/officeDocument/2006/relationships/hyperlink" Target="https://www.sec.gov/Archives/edgar/data/318154/000031815422000010/amgn-ex1023_20211231xq4.htm" TargetMode="External"/><Relationship Id="rId133" Type="http://schemas.openxmlformats.org/officeDocument/2006/relationships/hyperlink" Target="https://www.sec.gov/Archives/edgar/data/318154/000031815424000011/exhibit10124-fourthamendme.htm" TargetMode="External"/><Relationship Id="rId134" Type="http://schemas.openxmlformats.org/officeDocument/2006/relationships/hyperlink" Target="https://www.sec.gov/Archives/edgar/data/318154/000031815422000010/amgn-ex1025_20211231xq4.htm" TargetMode="External"/><Relationship Id="rId135" Type="http://schemas.openxmlformats.org/officeDocument/2006/relationships/hyperlink" Target="https://www.sec.gov/Archives/edgar/data/318154/000031815424000011/exhibit1014-agreementbetwe.htm" TargetMode="External"/><Relationship Id="rId136" Type="http://schemas.openxmlformats.org/officeDocument/2006/relationships/hyperlink" Target="https://www.sec.gov/Archives/edgar/data/318154/000119312522311112/d429654dex101.htm" TargetMode="External"/><Relationship Id="rId137" Type="http://schemas.openxmlformats.org/officeDocument/2006/relationships/hyperlink" Target="https://www.sec.gov/Archives/edgar/data/318154/000119312523066144/d466407dex101.htm" TargetMode="External"/><Relationship Id="rId138" Type="http://schemas.openxmlformats.org/officeDocument/2006/relationships/hyperlink" Target="https://www.sec.gov/Archives/edgar/data/318154/000031815424000011/exhibit1017-collaborationa.htm" TargetMode="External"/><Relationship Id="rId140" Type="http://schemas.openxmlformats.org/officeDocument/2006/relationships/hyperlink" Target="https://www.sec.gov/Archives/edgar/data/318154/000031815424000011/exhibit10171-amendmentno2t.htm" TargetMode="External"/><Relationship Id="rId141" Type="http://schemas.openxmlformats.org/officeDocument/2006/relationships/hyperlink" Target="https://www.sec.gov/Archives/edgar/data/318154/000031815419000037/amgn-ex282019630xq2.htm" TargetMode="External"/><Relationship Id="rId142" Type="http://schemas.openxmlformats.org/officeDocument/2006/relationships/hyperlink" Target="https://www.sec.gov/Archives/edgar/data/318154/000031815420000017/a1041bridgecollaborati.htm" TargetMode="External"/><Relationship Id="rId143" Type="http://schemas.openxmlformats.org/officeDocument/2006/relationships/hyperlink" Target="https://www.sec.gov/Archives/edgar/data/318154/000031815422000041/exhibit1041-firstamendment.htm" TargetMode="External"/><Relationship Id="rId144" Type="http://schemas.openxmlformats.org/officeDocument/2006/relationships/hyperlink" Target="https://www.sec.gov/Archives/edgar/data/318154/000031815423000029/exhibit10202-secondamendme.htm" TargetMode="External"/><Relationship Id="rId145" Type="http://schemas.openxmlformats.org/officeDocument/2006/relationships/hyperlink" Target="https://www.sec.gov/Archives/edgar/data/318154/000031815420000017/a1042guaranteeagreement.htm" TargetMode="External"/><Relationship Id="rId146" Type="http://schemas.openxmlformats.org/officeDocument/2006/relationships/hyperlink" Target="https://www.sec.gov/Archives/edgar/data/318154/000119312520003926/d848812dex991.htm" TargetMode="External"/><Relationship Id="rId147" Type="http://schemas.openxmlformats.org/officeDocument/2006/relationships/hyperlink" Target="https://www.sec.gov/Archives/edgar/data/318154/000119312520003926/d848812dex992.htm" TargetMode="External"/><Relationship Id="rId148" Type="http://schemas.openxmlformats.org/officeDocument/2006/relationships/hyperlink" Target="https://www.sec.gov/Archives/edgar/data/318154/000031815420000060/a1046restatedamendment.htm" TargetMode="External"/><Relationship Id="rId149" Type="http://schemas.openxmlformats.org/officeDocument/2006/relationships/hyperlink" Target="https://www.sec.gov/Archives/edgar/data/318154/000031815423000011/exhibit101-amendmentno3tos.htm" TargetMode="External"/><Relationship Id="rId150" Type="http://schemas.openxmlformats.org/officeDocument/2006/relationships/hyperlink" Target="https://www.sec.gov/Archives/edgar/data/318154/000031815422000041/exhibit1046-collaborationa.htm" TargetMode="External"/><Relationship Id="rId151" Type="http://schemas.openxmlformats.org/officeDocument/2006/relationships/hyperlink" Target="https://www.sec.gov/Archives/edgar/data/318154/000031815422000041/exhibit1047-amendmentno1to.htm" TargetMode="External"/><Relationship Id="rId152" Type="http://schemas.openxmlformats.org/officeDocument/2006/relationships/hyperlink" Target="https://www.sec.gov/Archives/edgar/data/318154/000031815420000048/amgn-ex10492020630xq2.htm" TargetMode="External"/><Relationship Id="rId154" Type="http://schemas.openxmlformats.org/officeDocument/2006/relationships/hyperlink" Target="https://www.sec.gov/Archives/edgar/data/318154/000031815421000010/amgn-ex1050_20201231xq4.htm" TargetMode="External"/><Relationship Id="rId155" Type="http://schemas.openxmlformats.org/officeDocument/2006/relationships/hyperlink" Target="https://www.sec.gov/Archives/edgar/data/318154/000031815422000010/amgn-1051_20211231xq4.htm" TargetMode="External"/><Relationship Id="rId156" Type="http://schemas.openxmlformats.org/officeDocument/2006/relationships/hyperlink" Target="https://www.sec.gov/Archives/edgar/data/318154/000031815424000011/exhibit10225-letteragreeme.htm" TargetMode="External"/><Relationship Id="rId157" Type="http://schemas.openxmlformats.org/officeDocument/2006/relationships/hyperlink" Target="https://www.sec.gov/Archives/edgar/data/318154/000031815421000034/amgn-ex1049_2021630xq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2024-10-31T05:16:18Z</dcterms:created>
  <dcterms:modified xsi:type="dcterms:W3CDTF">2024-10-31T05:16:18Z</dcterms:modified>
</cp:coreProperties>
</file>