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95-3540776</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One Amgen Center Drive</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Thousand Oaks</w:t>
      </w:r>
    </w:p>
    <w:p>
      <w:pPr>
        <w:spacing w:after="0" w:line="9"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91320-1799</w:t>
      </w:r>
    </w:p>
    <w:p>
      <w:pPr>
        <w:spacing w:after="0" w:line="50" w:lineRule="exact"/>
        <w:rPr>
          <w:sz w:val="24"/>
          <w:szCs w:val="24"/>
          <w:color w:val="auto"/>
        </w:rPr>
      </w:pPr>
    </w:p>
    <w:p>
      <w:pPr>
        <w:sectPr>
          <w:pgSz w:w="11900" w:h="16838" w:orient="portrait"/>
          <w:cols w:equalWidth="0" w:num="2">
            <w:col w:w="7180" w:space="720"/>
            <w:col w:w="312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(805) 447-1000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AMGN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1.250% Senior Notes Due 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AMGN22</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2.000% Senior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AMGN26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On July 27, 2021, Amgen Inc., a Delaware corporation (“</w:t>
      </w:r>
      <w:r>
        <w:rPr>
          <w:rFonts w:ascii="Arial" w:cs="Arial" w:eastAsia="Arial" w:hAnsi="Arial"/>
          <w:sz w:val="17"/>
          <w:szCs w:val="17"/>
          <w:b w:val="1"/>
          <w:bCs w:val="1"/>
          <w:i w:val="1"/>
          <w:iCs w:val="1"/>
          <w:color w:val="auto"/>
        </w:rPr>
        <w:t>Amgen</w:t>
      </w:r>
      <w:r>
        <w:rPr>
          <w:rFonts w:ascii="Arial" w:cs="Arial" w:eastAsia="Arial" w:hAnsi="Arial"/>
          <w:sz w:val="17"/>
          <w:szCs w:val="17"/>
          <w:color w:val="auto"/>
        </w:rPr>
        <w:t>”), entered into an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Amgen, Teneobio, Inc., a Delaware corporation (“</w:t>
      </w:r>
      <w:r>
        <w:rPr>
          <w:rFonts w:ascii="Arial" w:cs="Arial" w:eastAsia="Arial" w:hAnsi="Arial"/>
          <w:sz w:val="17"/>
          <w:szCs w:val="17"/>
          <w:b w:val="1"/>
          <w:bCs w:val="1"/>
          <w:i w:val="1"/>
          <w:iCs w:val="1"/>
          <w:color w:val="auto"/>
        </w:rPr>
        <w:t>Teneobio</w:t>
      </w:r>
      <w:r>
        <w:rPr>
          <w:rFonts w:ascii="Arial" w:cs="Arial" w:eastAsia="Arial" w:hAnsi="Arial"/>
          <w:sz w:val="17"/>
          <w:szCs w:val="17"/>
          <w:color w:val="auto"/>
        </w:rPr>
        <w:t>”), Tuxedo Merger Sub, Inc., a Delaware corporation and a wholly owned subsidiary of Amgen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and Fortis Advisors LLC, as the Stockholder Representative (as defined in the Merger Agreement) whereby, subject to the terms and conditions contained therein, Merger Sub will be merged with and into Teneobio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with Teneobio continuing as a wholly owned subsidiary of Amgen. As consideration for the Merger, and subject to the terms and conditions contained in the Merger Agreement, Amgen will pay to the equity holders of Teneobio (i) $900,000,000 in cash at closing, subject to customary adjustments for closing working capital and other transaction matters (the “</w:t>
      </w:r>
      <w:r>
        <w:rPr>
          <w:rFonts w:ascii="Arial" w:cs="Arial" w:eastAsia="Arial" w:hAnsi="Arial"/>
          <w:sz w:val="17"/>
          <w:szCs w:val="17"/>
          <w:b w:val="1"/>
          <w:bCs w:val="1"/>
          <w:i w:val="1"/>
          <w:iCs w:val="1"/>
          <w:color w:val="auto"/>
        </w:rPr>
        <w:t>Initial Purchase Price</w:t>
      </w:r>
      <w:r>
        <w:rPr>
          <w:rFonts w:ascii="Arial" w:cs="Arial" w:eastAsia="Arial" w:hAnsi="Arial"/>
          <w:sz w:val="17"/>
          <w:szCs w:val="17"/>
          <w:color w:val="auto"/>
        </w:rPr>
        <w:t>”) and (ii) certain future contingent milestone payments of up to $1,600,000,000 in cash that may become payable upon the achievement of certain qualifying events described in the Merger Agreement (the Initial Purchase Price and the Milestone Payments, if any, collectively, the “</w:t>
      </w:r>
      <w:r>
        <w:rPr>
          <w:rFonts w:ascii="Arial" w:cs="Arial" w:eastAsia="Arial" w:hAnsi="Arial"/>
          <w:sz w:val="17"/>
          <w:szCs w:val="17"/>
          <w:b w:val="1"/>
          <w:bCs w:val="1"/>
          <w:i w:val="1"/>
          <w:iCs w:val="1"/>
          <w:color w:val="auto"/>
        </w:rPr>
        <w:t>Transaction Payments</w:t>
      </w:r>
      <w:r>
        <w:rPr>
          <w:rFonts w:ascii="Arial" w:cs="Arial" w:eastAsia="Arial" w:hAnsi="Arial"/>
          <w:sz w:val="17"/>
          <w:szCs w:val="17"/>
          <w:color w:val="auto"/>
        </w:rPr>
        <w:t>”).</w:t>
      </w:r>
    </w:p>
    <w:p>
      <w:pPr>
        <w:spacing w:after="0" w:line="181"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Pursuant to the Merger Agreement, Amgen and Teneobio have agreed to customary representations, warranties and covenants, as well as indemnification arrangements, subject to certain limitations, with respect to certain losses resulting from inaccuracies in or breaches of the representations, warranties and covenants made in the Merger Agreement and certain excluded liabilities specified in the Merger Agreement. In connection with indemnification obligations under the Merger Agreement of the former equity holders of Teneobio, a portion of the Initial Purchase Price will be retained and held in escrow, and a portion of the future Milestone Payments, if and when paid, will be available to satisfy certain claims by Amgen. The covenants provided for in the Merger Agreement include, among others, Teneobio’s commitment to conduct and operate its business in the ordinary course consistent with past practice during the period prior to the closing of the Merger, subject to certain limitations.</w:t>
      </w:r>
    </w:p>
    <w:p>
      <w:pPr>
        <w:spacing w:after="0" w:line="166"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The obligation of Amgen to consummate the Merger and make the Transaction Payments is subject to the satisfaction or waiver, to the extent permitted under applicable legal requirements, of customary conditions, including, among others, (i) there being received validly obtained and not validly withdrawn consents executed by (a) stockholders of Teneobio representing ninety percent of the votes represented by all outstanding shares of Teneobio’s capital stock voting together as a single class on an as-converted basis and (b) certain stockholders owning in excess of five percent of Teneobio’s capital stock issued and outstanding on a fully diluted basis, (ii) Teneobio’s completion of certain restructuring arrangements with respect to its subsidiaries, including the spin out of three of Teneobio’s subsidiaries to the pre-closing equity holders of Teneobio and the closing of AbbVie Inc.’s (“</w:t>
      </w:r>
      <w:r>
        <w:rPr>
          <w:rFonts w:ascii="Arial" w:cs="Arial" w:eastAsia="Arial" w:hAnsi="Arial"/>
          <w:sz w:val="16"/>
          <w:szCs w:val="16"/>
          <w:b w:val="1"/>
          <w:bCs w:val="1"/>
          <w:i w:val="1"/>
          <w:iCs w:val="1"/>
          <w:color w:val="auto"/>
        </w:rPr>
        <w:t>AbbVie</w:t>
      </w:r>
      <w:r>
        <w:rPr>
          <w:rFonts w:ascii="Arial" w:cs="Arial" w:eastAsia="Arial" w:hAnsi="Arial"/>
          <w:sz w:val="16"/>
          <w:szCs w:val="16"/>
          <w:color w:val="auto"/>
        </w:rPr>
        <w:t>”) acquisition of TeneoOne, Inc., (iii) the accuracy of Teneobio’s representations and warranties (subject to customary materiality qualifiers),</w:t>
      </w:r>
    </w:p>
    <w:p>
      <w:pPr>
        <w:spacing w:after="0" w:line="2" w:lineRule="exact"/>
        <w:rPr>
          <w:sz w:val="20"/>
          <w:szCs w:val="20"/>
          <w:color w:val="auto"/>
        </w:rPr>
      </w:pPr>
    </w:p>
    <w:p>
      <w:pPr>
        <w:ind w:left="4" w:right="20" w:hanging="4"/>
        <w:spacing w:after="0" w:line="253" w:lineRule="auto"/>
        <w:tabs>
          <w:tab w:leader="none" w:pos="309" w:val="left"/>
        </w:tabs>
        <w:numPr>
          <w:ilvl w:val="0"/>
          <w:numId w:val="2"/>
        </w:numPr>
        <w:rPr>
          <w:rFonts w:ascii="Arial" w:cs="Arial" w:eastAsia="Arial" w:hAnsi="Arial"/>
          <w:sz w:val="18"/>
          <w:szCs w:val="18"/>
          <w:color w:val="auto"/>
        </w:rPr>
      </w:pPr>
      <w:r>
        <w:rPr>
          <w:rFonts w:ascii="Arial" w:cs="Arial" w:eastAsia="Arial" w:hAnsi="Arial"/>
          <w:sz w:val="18"/>
          <w:szCs w:val="18"/>
          <w:color w:val="auto"/>
        </w:rPr>
        <w:t>Teneobio’s compliance with or performance in all material respects of the obligations, covenants and agreements it is required to comply with or perform at or prior to the Merger, (v) the absence of a Material Adverse Effect (as defined in the Merger Agreement), (vi) the expiration or termination of the waiting period(s) applicable to the Merger under the Hart-Scott-Rodino Antitrust Improvements Act of 1976, as amended, and (vi) the absence of any law or order prohibiting the consummation of the Merger. The Merger</w:t>
      </w:r>
    </w:p>
    <w:p>
      <w:pPr>
        <w:sectPr>
          <w:pgSz w:w="11900" w:h="16838" w:orient="portrait"/>
          <w:cols w:equalWidth="0" w:num="1">
            <w:col w:w="10964"/>
          </w:cols>
          <w:pgMar w:left="436" w:top="297" w:right="499" w:bottom="1440" w:gutter="0" w:footer="0" w:header="0"/>
        </w:sectPr>
      </w:pPr>
    </w:p>
    <w:bookmarkStart w:id="2" w:name="page3"/>
    <w:bookmarkEnd w:id="2"/>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Agreement may be terminated (i) by mutual consent of Amgen and Teneobio, (ii) by Amgen or Teneobio if the Merger has not been completed by October 25, 2021 (unless such party’s breach is the primary reason for the Merger not being completed by such date), (iii) by Amgen or Teneobio if the Merger is enjoined or (iv) by Amgen or Teneobio upon certain breaches of the Merger Agreement by the other party.</w:t>
      </w:r>
    </w:p>
    <w:p>
      <w:pPr>
        <w:spacing w:after="0" w:line="16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Prior to the consummation of the Merger, Teneobio will distribute to its equity holders all equity held by Teneobio in (i) TeneoTwo, Inc., which develops TNB-486, a bispecific antibody targeting CD19 on tumor cells and CD3 on T-cells, (ii) TeneoFour, Inc., which develops anti-CD38 heavy chain antibodies that block the enzyme functions of CD38, and (iii) TeneoTen, Inc., which develops bispecific antibodies directed against the hepatitis B surface antigen (HBsAg) and CD3. In addition, AbbVie exercised its exclusive right, pursuant to an option agreement, to acquire TeneoOne, an affiliate of Teneobio, and TNB-383B, a bispecific BCMA-targeting immunotherapeutic antibody for the potential treatment of relapsed or refractory multiple myeloma (R/R MM).</w:t>
      </w:r>
    </w:p>
    <w:p>
      <w:pPr>
        <w:spacing w:after="0" w:line="192"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The foregoing description of the terms of the Merger Agreement is not complete and is qualified in its entirety by reference to the Merger Agreement, a copy of which Amgen intends to file as an exhibit to a subsequent periodic report.</w:t>
      </w:r>
    </w:p>
    <w:p>
      <w:pPr>
        <w:spacing w:after="0" w:line="1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Amgen has issued a press release which is attached hereto as Exhibit 99.1 and incorporated into this Item 7.01 by reference.</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information contained in this Item 7.01 and Exhibit 99.1 shall not be deemed to be “filed” for the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such section, nor will such information be deemed incorporated by reference in any filing under the Securities Act of 1933, as amended, or the Exchange Act, except as may be expressly set forth by specific reference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398"/>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60" w:type="dxa"/>
            <w:vAlign w:val="bottom"/>
          </w:tcPr>
          <w:p>
            <w:pPr>
              <w:ind w:left="1180"/>
              <w:spacing w:after="0"/>
              <w:rPr>
                <w:sz w:val="20"/>
                <w:szCs w:val="20"/>
                <w:color w:val="auto"/>
              </w:rPr>
            </w:pPr>
            <w:r>
              <w:rPr>
                <w:rFonts w:ascii="Arial" w:cs="Arial" w:eastAsia="Arial" w:hAnsi="Arial"/>
                <w:sz w:val="14"/>
                <w:szCs w:val="14"/>
                <w:b w:val="1"/>
                <w:bCs w:val="1"/>
                <w:color w:val="auto"/>
              </w:rPr>
              <w:t>Document 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8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Joint Press Release, dated July 27, 2021.</w:t>
              </w:r>
            </w:hyperlink>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Cover Page Interactive File (the cover page tags are embedded within the Inline XBRL document).</w:t>
            </w:r>
          </w:p>
        </w:tc>
      </w:tr>
    </w:tbl>
    <w:p>
      <w:pPr>
        <w:sectPr>
          <w:pgSz w:w="11900" w:h="16838" w:orient="portrait"/>
          <w:cols w:equalWidth="0" w:num="1">
            <w:col w:w="11020"/>
          </w:cols>
          <w:pgMar w:left="440" w:top="301"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000" w:type="dxa"/>
            <w:vAlign w:val="bottom"/>
            <w:gridSpan w:val="2"/>
          </w:tcPr>
          <w:p>
            <w:pPr>
              <w:ind w:left="1840"/>
              <w:spacing w:after="0"/>
              <w:rPr>
                <w:sz w:val="20"/>
                <w:szCs w:val="20"/>
                <w:color w:val="auto"/>
              </w:rPr>
            </w:pPr>
            <w:r>
              <w:rPr>
                <w:rFonts w:ascii="Arial" w:cs="Arial" w:eastAsia="Arial" w:hAnsi="Arial"/>
                <w:sz w:val="18"/>
                <w:szCs w:val="18"/>
                <w:color w:val="auto"/>
              </w:rPr>
              <w:t>AMGEN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July 27, 2021</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P. Graham</w:t>
            </w:r>
          </w:p>
        </w:tc>
      </w:tr>
      <w:tr>
        <w:trPr>
          <w:trHeight w:val="209"/>
        </w:trPr>
        <w:tc>
          <w:tcPr>
            <w:tcW w:w="326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Jonathan P. Graham</w:t>
            </w:r>
          </w:p>
        </w:tc>
      </w:tr>
      <w:tr>
        <w:trPr>
          <w:trHeight w:val="230"/>
        </w:trPr>
        <w:tc>
          <w:tcPr>
            <w:tcW w:w="326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w w:val="97"/>
              </w:rPr>
              <w:t>Executive Vice President, General Counsel and Secretary</w:t>
            </w:r>
          </w:p>
        </w:tc>
      </w:tr>
    </w:tbl>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3990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0" cy="591820"/>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171450</wp:posOffset>
            </wp:positionV>
            <wp:extent cx="164592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TO ACQUIRE PRIVATELY HELD TENEOBIO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MILLION IN CASH WITH FUTURE CONTINGENT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MILESTONE PAYMENTS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Complements Amgen’s Antibody Research Capabilities Across Therapeutic Areas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Acquisition Includes a Portfolio of Early-Stage Oncology Assets, Including a Phase 1 Bispecific Antibody for Patients With Advanced Prostate Cancer</w:t>
      </w:r>
    </w:p>
    <w:p>
      <w:pPr>
        <w:spacing w:after="0" w:line="166"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THOUSAND OAKS, Calif. and NEWARK, Calif. (July 27, 2021) – Amgen (NASDAQ: AMGN) and Teneobio today announced an agreement under which Amgen will acquire Teneobio, a privately held, clinical stage biotechnology company developing a new class of biologics called Human Heavy-Chain Antibodies. Under the terms of the agreement, Amgen will acquire all outstanding shares of Teneobio at closing in exchange for a $900 million upfront cash payment, as well as future contingent milestone payments to Teneobio equity holders potentially worth up to an additional $1.6 billion in cash.</w:t>
      </w:r>
    </w:p>
    <w:p>
      <w:pPr>
        <w:spacing w:after="0" w:line="18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acquisition includes Teneobio’s proprietary bispecific and multispecific antibody technologies, which will enable significant acceleration and efficiency in the discovery and development of new molecules that have the potential to treat a wide range of important diseases across Amgen’s core therapeutic areas. These platforms complement Amgen’s existing antibody capabilities with the addition of a heavy-chain only platform that allows a streamlined, sequence-based discovery approach for target binders, as well as Teneobio’s novel T-cell engager platform, which expands on Amgen’s existing leadership position in bispecific T-cell engagers by providing a differentiated, but complementary, approach to Amgen’s current BiTE</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92"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“The acquisition of Teneobio will strengthen our ability to develop innovative medicines to treat patients with serious illnesses and to bring to market best-in-class products, particularly with respect to multispecific and bispecific medicines directed against targets in a wide range of diseases across our core therapeutic areas,” said David M. Reese, M.D., executive vice president of Research and Development at Amgen. “Teneobio’s antibody platform complements our existing capabilities and could potentially give us a more diverse set of building blocks that can be developed into new multispecific therapeutics. In addition, the availability of Teneobio’s CD3 engager technology will allow us to broaden our capabilities in generating bispecifics, and with our own technology, enable customization of the T cell engaging domain of the molecules depending on the disease and target.”</w:t>
      </w:r>
    </w:p>
    <w:p>
      <w:pPr>
        <w:sectPr>
          <w:pgSz w:w="11900" w:h="16838" w:orient="portrait"/>
          <w:cols w:equalWidth="0" w:num="1">
            <w:col w:w="11020"/>
          </w:cols>
          <w:pgMar w:left="440" w:top="121" w:right="439" w:bottom="1440" w:gutter="0" w:footer="0" w:header="0"/>
        </w:sectPr>
      </w:pPr>
    </w:p>
    <w:bookmarkStart w:id="5" w:name="page6"/>
    <w:bookmarkEnd w:id="5"/>
    <w:p>
      <w:pPr>
        <w:ind w:right="2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AMGEN TO ACQUIRE PRIVATELY HELD TENEOBIO FOR $900 MILLION IN CASH WITH FUTURE CONTINGENT MILESTONE PAYMENTS</w:t>
      </w: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acquisition will also add TNB-585, a Phase 1 bispecific T cell-engager for the treatment of metastatic castrate-resistant prostate cancer (mCRPC), and several preclinical oncology pipeline assets with the potential for near-term IND filings. TNB-585 complements Amgen’s existing prostate cancer portfolio, which includes acapatamab (formerly AMG 160) and AMG 509, both in Phase 1. Each of these three investigational therapies uses a different approach to treat a highly prevalent disease for which new treatment options are very much needed.</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Teneobio team is enthusiastic about joining forces with Amgen, a pioneer of biotherapeutics. Amgen’s R&amp;D resources and its extensive clinical experience in immuno-oncology are ideally suited to applying and advancing Teneobio’s differentiated technologies and multispecific antibodies to deliver transformative medicines,” said Roland Buelow, Ph.D., chief executive officer of Teneobio. “Over the last five years, Teneobio developed leading-edge expertise in efficiently engineering differentiated multispecific and bispecific therapeutics for numerous indications with potentially better safety, efficacy and pharmacokinetic profiles than the first generation of T-cell engagers. Together, we share a focused commitment to rapidly discover, develop and deliver novel and meaningful disease-modifying multispecific antibodies to patients in need.”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June 2021, AbbVie Inc. exercised its right to acquire TeneoOne, Inc. (a Teneobio affiliate), which includes TNB-383B, an anti-CD3/BCMA bispecific for the treatment of relapsed or refractory multiple myeloma. Further details of this transaction, including conditions to closing, can be found </w:t>
      </w:r>
      <w:r>
        <w:rPr>
          <w:rFonts w:ascii="Arial" w:cs="Arial" w:eastAsia="Arial" w:hAnsi="Arial"/>
          <w:sz w:val="18"/>
          <w:szCs w:val="18"/>
          <w:u w:val="single" w:color="auto"/>
          <w:color w:val="auto"/>
        </w:rPr>
        <w:t>here</w:t>
      </w:r>
      <w:r>
        <w:rPr>
          <w:rFonts w:ascii="Arial" w:cs="Arial" w:eastAsia="Arial" w:hAnsi="Arial"/>
          <w:sz w:val="18"/>
          <w:szCs w:val="18"/>
          <w:color w:val="auto"/>
        </w:rPr>
        <w:t>. Prior to close of the Amgen acquisition, three Teneobio affiliates will be spun-off to Teneobio’s existing equity holders: TeneoTwo, Inc. (anti-CD19/CD3), TeneoFour, Inc. (anti-CD38 enzyme inhibitor) and TeneoTen, Inc. (anti-HBV/CD3).</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acquisition is subject to customary closing conditions, including applicable regulatory approvals and is expected to close in the second half of 2021. Goldman Sachs &amp; Co. LLC acted as financial advisor to Amgen and Latham &amp; Watkins LLP as its legal advisor. Gunderson Dettmer Stough Villeneuve Franklin &amp; Hachigian, LLP acted as legal advisor to TeneoBio.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Amgen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Amgen focuses on areas of high unmet medical need and leverages its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www.amgen.com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www.twitter.com/amgen</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Teneobio</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Teneobio, Inc. is a clinical stage biotechnology company developing a new class of biologics, Human Heavy-Chain Antibodies (UniAb</w:t>
      </w:r>
      <w:r>
        <w:rPr>
          <w:rFonts w:ascii="Arial" w:cs="Arial" w:eastAsia="Arial" w:hAnsi="Arial"/>
          <w:sz w:val="15"/>
          <w:szCs w:val="15"/>
          <w:color w:val="auto"/>
        </w:rPr>
        <w:t>®</w:t>
      </w:r>
      <w:r>
        <w:rPr>
          <w:rFonts w:ascii="Arial" w:cs="Arial" w:eastAsia="Arial" w:hAnsi="Arial"/>
          <w:sz w:val="18"/>
          <w:szCs w:val="18"/>
          <w:color w:val="auto"/>
        </w:rPr>
        <w:t>), for the treatments of cancer, autoimmunity, and infectious diseases. Teneobio’s discovery platform, TeneoSeek, comprises genetically engineered animals (UniRat</w:t>
      </w:r>
      <w:r>
        <w:rPr>
          <w:rFonts w:ascii="Arial" w:cs="Arial" w:eastAsia="Arial" w:hAnsi="Arial"/>
          <w:sz w:val="15"/>
          <w:szCs w:val="15"/>
          <w:color w:val="auto"/>
        </w:rPr>
        <w:t>®</w:t>
      </w:r>
      <w:r>
        <w:rPr>
          <w:rFonts w:ascii="Arial" w:cs="Arial" w:eastAsia="Arial" w:hAnsi="Arial"/>
          <w:sz w:val="18"/>
          <w:szCs w:val="18"/>
          <w:color w:val="auto"/>
        </w:rPr>
        <w:t xml:space="preserve"> and OmniFlic</w:t>
      </w:r>
      <w:r>
        <w:rPr>
          <w:rFonts w:ascii="Arial" w:cs="Arial" w:eastAsia="Arial" w:hAnsi="Arial"/>
          <w:sz w:val="15"/>
          <w:szCs w:val="15"/>
          <w:color w:val="auto"/>
        </w:rPr>
        <w:t>®</w:t>
      </w:r>
      <w:r>
        <w:rPr>
          <w:rFonts w:ascii="Arial" w:cs="Arial" w:eastAsia="Arial" w:hAnsi="Arial"/>
          <w:sz w:val="18"/>
          <w:szCs w:val="18"/>
          <w:color w:val="auto"/>
        </w:rPr>
        <w:t>), next-generation sequencing, bioinformatics and high-throughput vector assembly technologies. TeneoSeek rapidly identifies large numbers of</w:t>
      </w:r>
    </w:p>
    <w:p>
      <w:pPr>
        <w:sectPr>
          <w:pgSz w:w="11900" w:h="16838" w:orient="portrait"/>
          <w:cols w:equalWidth="0" w:num="1">
            <w:col w:w="11000"/>
          </w:cols>
          <w:pgMar w:left="440" w:top="270" w:right="459" w:bottom="1440" w:gutter="0" w:footer="0" w:header="0"/>
        </w:sectPr>
      </w:pPr>
    </w:p>
    <w:bookmarkStart w:id="6" w:name="page7"/>
    <w:bookmarkEnd w:id="6"/>
    <w:p>
      <w:pPr>
        <w:ind w:right="2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AMGEN TO ACQUIRE PRIVATELY HELD TENEOBIO FOR $900 MILLION IN CASH WITH FUTURE CONTINGENT MILESTONE PAYMENTS</w:t>
      </w: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unique binding molecules specific for therapeutic targets of interest. Versatile antibody variable domains (UniDab</w:t>
      </w:r>
      <w:r>
        <w:rPr>
          <w:rFonts w:ascii="Arial" w:cs="Arial" w:eastAsia="Arial" w:hAnsi="Arial"/>
          <w:sz w:val="13"/>
          <w:szCs w:val="13"/>
          <w:color w:val="auto"/>
        </w:rPr>
        <w:t>®</w:t>
      </w:r>
      <w:r>
        <w:rPr>
          <w:rFonts w:ascii="Arial" w:cs="Arial" w:eastAsia="Arial" w:hAnsi="Arial"/>
          <w:sz w:val="16"/>
          <w:szCs w:val="16"/>
          <w:color w:val="auto"/>
        </w:rPr>
        <w:t>) derived from UniAb</w:t>
      </w:r>
      <w:r>
        <w:rPr>
          <w:rFonts w:ascii="Arial" w:cs="Arial" w:eastAsia="Arial" w:hAnsi="Arial"/>
          <w:sz w:val="13"/>
          <w:szCs w:val="13"/>
          <w:color w:val="auto"/>
        </w:rPr>
        <w:t>®</w:t>
      </w:r>
      <w:r>
        <w:rPr>
          <w:rFonts w:ascii="Arial" w:cs="Arial" w:eastAsia="Arial" w:hAnsi="Arial"/>
          <w:sz w:val="16"/>
          <w:szCs w:val="16"/>
          <w:color w:val="auto"/>
        </w:rPr>
        <w:t xml:space="preserve"> can be assembled into multi-specific and multivalent therapeutic proteins, surpassing limitations of conventional antibody therapeutics. Teneobio’s “plug-and-play” T-cell engaging platform includes a diverse set of anti-CD3 antibodies for therapeutics with optimal efficacy and reduced toxicity.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Amgen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news release contains forward-looking statements that are based on the current expectations and beliefs of Amgen. All statements, other than statements of historical fact, are statements that could be deemed forward-looking statements, including any statements on the outcome or benefits of acquisitions or collaborations with any other company, including the Teneobio acquisition, as well as regulatory or clinical results or practices, and other such estimates and results. Forward-looking statements involve significant risks and uncertainties, including those discussed below and more fully described in the Securities and Exchange Commission reports filed by Amgen, including its most recent annual report on Form 10-K and any subsequent periodic reports on Form 10-Q and current reports on Form 8-K. Unless otherwise noted, Amgen is providing this information as of the date of this news release and does not undertake any obligation to update any forward-looking statements contained in this document as a result of new information, future events or otherwise.</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forward-looking statement can be guaranteed and actual results may differ materially from those we project.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preclinical results do not guarantee safe and effective performance of product candidates in humans. The complexity of the human body cannot be perfectly, or sometimes, even adequately modeled by computer or cell culture systems or animal models. The length of time that it takes for us to complete clinical trials and obtain regulatory approval for product marketing has in the past varied and we expect similar variability in the future. Even when clinical trials are successful, regulatory authorities may question the sufficiency for approval of the trial endpoints we have selected. We develop product candidates internally and through licensing collaborations, partnerships and joint ventures. Product candidates that are derived from relationships may be subject to disputes between the parties or may prove to be not as effective or as safe as we may have believed at the time of entering into such relationship. Also, we or others could identify safety, side effects or manufacturing problems with our products, including our devices, after they are on the market.</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Our business may be impacted by government investigations, litigation and product liability claims. In</w:t>
      </w:r>
    </w:p>
    <w:p>
      <w:pPr>
        <w:sectPr>
          <w:pgSz w:w="11900" w:h="16838" w:orient="portrait"/>
          <w:cols w:equalWidth="0" w:num="1">
            <w:col w:w="11000"/>
          </w:cols>
          <w:pgMar w:left="440" w:top="270" w:right="459" w:bottom="1440" w:gutter="0" w:footer="0" w:header="0"/>
        </w:sectPr>
      </w:pPr>
    </w:p>
    <w:bookmarkStart w:id="7" w:name="page8"/>
    <w:bookmarkEnd w:id="7"/>
    <w:p>
      <w:pPr>
        <w:ind w:right="26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AMGEN TO ACQUIRE PRIVATELY HELD TENEOBIO FOR $900 MILLION IN CASH WITH FUTURE CONTINGENT MILESTONE PAYMENTS</w:t>
      </w: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development, product sales,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collaborate with or acquire other companies, products or technology, and to integrate the operations of companies or to support the products or technology we have acquired, may not be successful. A breakdown, cyberattack or information security breach could compromise the confidentiality, integrity and availability of our systems and our data. Our stock price is volatile and may be affected by a number of events. Global economic conditions may magnify certain risks that affect our business.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scientific information discussed in this news release related to our product candidates is preliminary and investigative. Such product candidates are not approved by the U.S. Food and Drug Administration, and no conclusions can or should be drawn regarding the safety or effectiveness of the product candidates.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Amgen, Thousand Oaks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Megan Fox, 805-447-1423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Trish Rowland, 805-447-5631(media)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Arvind Sood, 805-447-1060 (investors)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Teneobio, Newark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Omid Vafa, Chief Business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ovafa@teneobio.com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2021-07-27T15:58:14Z</dcterms:created>
  <dcterms:modified xsi:type="dcterms:W3CDTF">2021-07-27T15:58:14Z</dcterms:modified>
</cp:coreProperties>
</file>