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0" w:lineRule="exact"/>
        <w:rPr>
          <w:sz w:val="24"/>
          <w:szCs w:val="24"/>
          <w:color w:val="auto"/>
        </w:rPr>
      </w:pPr>
    </w:p>
    <w:p>
      <w:pPr>
        <w:ind w:left="1420" w:right="760" w:hanging="723"/>
        <w:spacing w:after="0" w:line="251" w:lineRule="auto"/>
        <w:tabs>
          <w:tab w:leader="none" w:pos="1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0" w:lineRule="exact"/>
        <w:rPr>
          <w:sz w:val="24"/>
          <w:szCs w:val="24"/>
          <w:color w:val="auto"/>
        </w:rPr>
      </w:pPr>
    </w:p>
    <w:p>
      <w:pPr>
        <w:ind w:left="1420" w:right="1620" w:hanging="723"/>
        <w:spacing w:after="0" w:line="260" w:lineRule="auto"/>
        <w:tabs>
          <w:tab w:leader="none" w:pos="1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32"/>
        </w:trPr>
        <w:tc>
          <w:tcPr>
            <w:tcW w:w="6700" w:type="dxa"/>
            <w:vAlign w:val="bottom"/>
          </w:tcPr>
          <w:p>
            <w:pPr>
              <w:jc w:val="center"/>
              <w:ind w:left="2004"/>
              <w:spacing w:after="0"/>
              <w:rPr>
                <w:sz w:val="20"/>
                <w:szCs w:val="20"/>
                <w:color w:val="auto"/>
              </w:rPr>
            </w:pPr>
            <w:r>
              <w:rPr>
                <w:rFonts w:ascii="Times New Roman" w:cs="Times New Roman" w:eastAsia="Times New Roman" w:hAnsi="Times New Roman"/>
                <w:sz w:val="18"/>
                <w:szCs w:val="18"/>
                <w:b w:val="1"/>
                <w:bCs w:val="1"/>
                <w:color w:val="auto"/>
              </w:rPr>
              <w:t>Commission file number 000-12477</w:t>
            </w:r>
          </w:p>
        </w:tc>
        <w:tc>
          <w:tcPr>
            <w:tcW w:w="1420" w:type="dxa"/>
            <w:vAlign w:val="bottom"/>
          </w:tcPr>
          <w:p>
            <w:pPr>
              <w:spacing w:after="0"/>
              <w:rPr>
                <w:sz w:val="20"/>
                <w:szCs w:val="20"/>
                <w:color w:val="auto"/>
              </w:rPr>
            </w:pPr>
          </w:p>
        </w:tc>
      </w:tr>
      <w:tr>
        <w:trPr>
          <w:trHeight w:val="393"/>
        </w:trPr>
        <w:tc>
          <w:tcPr>
            <w:tcW w:w="6700" w:type="dxa"/>
            <w:vAlign w:val="bottom"/>
          </w:tcPr>
          <w:p>
            <w:pPr>
              <w:jc w:val="center"/>
              <w:ind w:left="2004"/>
              <w:spacing w:after="0"/>
              <w:rPr>
                <w:sz w:val="20"/>
                <w:szCs w:val="20"/>
                <w:color w:val="auto"/>
              </w:rPr>
            </w:pPr>
            <w:r>
              <w:rPr>
                <w:rFonts w:ascii="Times New Roman" w:cs="Times New Roman" w:eastAsia="Times New Roman" w:hAnsi="Times New Roman"/>
                <w:sz w:val="32"/>
                <w:szCs w:val="32"/>
                <w:b w:val="1"/>
                <w:bCs w:val="1"/>
                <w:color w:val="auto"/>
              </w:rPr>
              <w:t>Amgen Inc.</w:t>
            </w:r>
          </w:p>
        </w:tc>
        <w:tc>
          <w:tcPr>
            <w:tcW w:w="1420" w:type="dxa"/>
            <w:vAlign w:val="bottom"/>
          </w:tcPr>
          <w:p>
            <w:pPr>
              <w:spacing w:after="0"/>
              <w:rPr>
                <w:sz w:val="24"/>
                <w:szCs w:val="24"/>
                <w:color w:val="auto"/>
              </w:rPr>
            </w:pPr>
          </w:p>
        </w:tc>
      </w:tr>
      <w:tr>
        <w:trPr>
          <w:trHeight w:val="234"/>
        </w:trPr>
        <w:tc>
          <w:tcPr>
            <w:tcW w:w="6700" w:type="dxa"/>
            <w:vAlign w:val="bottom"/>
          </w:tcPr>
          <w:p>
            <w:pPr>
              <w:jc w:val="center"/>
              <w:ind w:left="200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20" w:type="dxa"/>
            <w:vAlign w:val="bottom"/>
          </w:tcPr>
          <w:p>
            <w:pPr>
              <w:spacing w:after="0"/>
              <w:rPr>
                <w:sz w:val="20"/>
                <w:szCs w:val="20"/>
                <w:color w:val="auto"/>
              </w:rPr>
            </w:pPr>
          </w:p>
        </w:tc>
      </w:tr>
      <w:tr>
        <w:trPr>
          <w:trHeight w:val="378"/>
        </w:trPr>
        <w:tc>
          <w:tcPr>
            <w:tcW w:w="6700" w:type="dxa"/>
            <w:vAlign w:val="bottom"/>
          </w:tcPr>
          <w:p>
            <w:pPr>
              <w:jc w:val="center"/>
              <w:ind w:right="37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95-3540776</w:t>
            </w:r>
          </w:p>
        </w:tc>
      </w:tr>
      <w:tr>
        <w:trPr>
          <w:trHeight w:val="252"/>
        </w:trPr>
        <w:tc>
          <w:tcPr>
            <w:tcW w:w="6700" w:type="dxa"/>
            <w:vAlign w:val="bottom"/>
          </w:tcPr>
          <w:p>
            <w:pPr>
              <w:jc w:val="center"/>
              <w:ind w:right="3764"/>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700" w:type="dxa"/>
            <w:vAlign w:val="bottom"/>
          </w:tcPr>
          <w:p>
            <w:pPr>
              <w:jc w:val="center"/>
              <w:ind w:right="3764"/>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70"/>
        </w:trPr>
        <w:tc>
          <w:tcPr>
            <w:tcW w:w="6700" w:type="dxa"/>
            <w:vAlign w:val="bottom"/>
          </w:tcPr>
          <w:p>
            <w:pPr>
              <w:jc w:val="center"/>
              <w:ind w:right="3764"/>
              <w:spacing w:after="0"/>
              <w:rPr>
                <w:sz w:val="20"/>
                <w:szCs w:val="20"/>
                <w:color w:val="auto"/>
              </w:rPr>
            </w:pPr>
            <w:r>
              <w:rPr>
                <w:rFonts w:ascii="Times New Roman" w:cs="Times New Roman" w:eastAsia="Times New Roman" w:hAnsi="Times New Roman"/>
                <w:sz w:val="18"/>
                <w:szCs w:val="18"/>
                <w:b w:val="1"/>
                <w:bCs w:val="1"/>
                <w:color w:val="auto"/>
                <w:w w:val="99"/>
              </w:rPr>
              <w:t>One Amgen Center Drive,</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91320-1799</w:t>
            </w:r>
          </w:p>
        </w:tc>
      </w:tr>
      <w:tr>
        <w:trPr>
          <w:trHeight w:val="270"/>
        </w:trPr>
        <w:tc>
          <w:tcPr>
            <w:tcW w:w="6700" w:type="dxa"/>
            <w:vAlign w:val="bottom"/>
          </w:tcPr>
          <w:p>
            <w:pPr>
              <w:jc w:val="center"/>
              <w:ind w:right="3744"/>
              <w:spacing w:after="0"/>
              <w:rPr>
                <w:sz w:val="20"/>
                <w:szCs w:val="20"/>
                <w:color w:val="auto"/>
              </w:rPr>
            </w:pPr>
            <w:r>
              <w:rPr>
                <w:rFonts w:ascii="Times New Roman" w:cs="Times New Roman" w:eastAsia="Times New Roman" w:hAnsi="Times New Roman"/>
                <w:sz w:val="18"/>
                <w:szCs w:val="18"/>
                <w:b w:val="1"/>
                <w:bCs w:val="1"/>
                <w:color w:val="auto"/>
              </w:rPr>
              <w:t>Thousand Oaks, California</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(Zip Code)</w:t>
            </w:r>
          </w:p>
        </w:tc>
      </w:tr>
      <w:tr>
        <w:trPr>
          <w:trHeight w:val="270"/>
        </w:trPr>
        <w:tc>
          <w:tcPr>
            <w:tcW w:w="6700" w:type="dxa"/>
            <w:vAlign w:val="bottom"/>
          </w:tcPr>
          <w:p>
            <w:pPr>
              <w:jc w:val="center"/>
              <w:ind w:right="3744"/>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20" w:type="dxa"/>
            <w:vAlign w:val="bottom"/>
          </w:tcPr>
          <w:p>
            <w:pPr>
              <w:spacing w:after="0"/>
              <w:rPr>
                <w:sz w:val="23"/>
                <w:szCs w:val="23"/>
                <w:color w:val="auto"/>
              </w:rPr>
            </w:pPr>
          </w:p>
        </w:tc>
      </w:tr>
      <w:tr>
        <w:trPr>
          <w:trHeight w:val="252"/>
        </w:trPr>
        <w:tc>
          <w:tcPr>
            <w:tcW w:w="6700" w:type="dxa"/>
            <w:vAlign w:val="bottom"/>
          </w:tcPr>
          <w:p>
            <w:pPr>
              <w:jc w:val="center"/>
              <w:ind w:left="2004"/>
              <w:spacing w:after="0"/>
              <w:rPr>
                <w:sz w:val="20"/>
                <w:szCs w:val="20"/>
                <w:color w:val="auto"/>
              </w:rPr>
            </w:pPr>
            <w:r>
              <w:rPr>
                <w:rFonts w:ascii="Times New Roman" w:cs="Times New Roman" w:eastAsia="Times New Roman" w:hAnsi="Times New Roman"/>
                <w:sz w:val="18"/>
                <w:szCs w:val="18"/>
                <w:b w:val="1"/>
                <w:bCs w:val="1"/>
                <w:color w:val="auto"/>
                <w:w w:val="99"/>
              </w:rPr>
              <w:t>(805) 447-1000</w:t>
            </w:r>
          </w:p>
        </w:tc>
        <w:tc>
          <w:tcPr>
            <w:tcW w:w="1420" w:type="dxa"/>
            <w:vAlign w:val="bottom"/>
          </w:tcPr>
          <w:p>
            <w:pPr>
              <w:spacing w:after="0"/>
              <w:rPr>
                <w:sz w:val="21"/>
                <w:szCs w:val="21"/>
                <w:color w:val="auto"/>
              </w:rPr>
            </w:pPr>
          </w:p>
        </w:tc>
      </w:tr>
      <w:tr>
        <w:trPr>
          <w:trHeight w:val="234"/>
        </w:trPr>
        <w:tc>
          <w:tcPr>
            <w:tcW w:w="6700" w:type="dxa"/>
            <w:vAlign w:val="bottom"/>
          </w:tcPr>
          <w:p>
            <w:pPr>
              <w:jc w:val="center"/>
              <w:ind w:left="198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20" w:type="dxa"/>
            <w:vAlign w:val="bottom"/>
          </w:tcPr>
          <w:p>
            <w:pPr>
              <w:spacing w:after="0"/>
              <w:rPr>
                <w:sz w:val="20"/>
                <w:szCs w:val="20"/>
                <w:color w:val="auto"/>
              </w:rPr>
            </w:pPr>
          </w:p>
        </w:tc>
      </w:tr>
      <w:tr>
        <w:trPr>
          <w:trHeight w:val="243"/>
        </w:trPr>
        <w:tc>
          <w:tcPr>
            <w:tcW w:w="6700" w:type="dxa"/>
            <w:vAlign w:val="bottom"/>
          </w:tcPr>
          <w:p>
            <w:pPr>
              <w:jc w:val="center"/>
              <w:ind w:left="200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420" w:type="dxa"/>
            <w:vAlign w:val="bottom"/>
          </w:tcPr>
          <w:p>
            <w:pPr>
              <w:spacing w:after="0"/>
              <w:rPr>
                <w:sz w:val="21"/>
                <w:szCs w:val="21"/>
                <w:color w:val="auto"/>
              </w:rPr>
            </w:pPr>
          </w:p>
        </w:tc>
      </w:tr>
    </w:tbl>
    <w:p>
      <w:pPr>
        <w:spacing w:after="0" w:line="204"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680" w:type="dxa"/>
            <w:vAlign w:val="bottom"/>
          </w:tcPr>
          <w:p>
            <w:pPr>
              <w:spacing w:after="0"/>
              <w:rPr>
                <w:sz w:val="22"/>
                <w:szCs w:val="22"/>
                <w:color w:val="auto"/>
              </w:rPr>
            </w:pPr>
          </w:p>
        </w:tc>
        <w:tc>
          <w:tcPr>
            <w:tcW w:w="3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690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ind w:firstLine="43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180" w:firstLine="43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60" w:firstLine="43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 (Check one):</w:t>
      </w:r>
    </w:p>
    <w:p>
      <w:pPr>
        <w:sectPr>
          <w:pgSz w:w="11900" w:h="16838" w:orient="portrait"/>
          <w:cols w:equalWidth="0" w:num="1">
            <w:col w:w="11380"/>
          </w:cols>
          <w:pgMar w:left="240" w:top="727" w:right="279" w:bottom="1440" w:gutter="0" w:footer="0" w:header="0"/>
        </w:sectPr>
      </w:pPr>
    </w:p>
    <w:p>
      <w:pPr>
        <w:spacing w:after="0" w:line="18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3" w:lineRule="exact"/>
        <w:rPr>
          <w:sz w:val="24"/>
          <w:szCs w:val="24"/>
          <w:color w:val="auto"/>
        </w:rPr>
      </w:pPr>
    </w:p>
    <w:p>
      <w:pPr>
        <w:sectPr>
          <w:pgSz w:w="11900" w:h="16838" w:orient="portrait"/>
          <w:cols w:equalWidth="0" w:num="4">
            <w:col w:w="2380" w:space="720"/>
            <w:col w:w="1820" w:space="720"/>
            <w:col w:w="1840" w:space="720"/>
            <w:col w:w="3180"/>
          </w:cols>
          <w:pgMar w:left="240" w:top="727" w:right="279" w:bottom="1440" w:gutter="0" w:footer="0" w:header="0"/>
          <w:type w:val="continuous"/>
        </w:sectPr>
      </w:pPr>
    </w:p>
    <w:p>
      <w:pPr>
        <w:ind w:left="5640"/>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380"/>
          </w:cols>
          <w:pgMar w:left="240" w:top="727" w:right="279" w:bottom="1440" w:gutter="0" w:footer="0" w:header="0"/>
          <w:type w:val="continuous"/>
        </w:sectPr>
      </w:pPr>
    </w:p>
    <w:p>
      <w:pPr>
        <w:spacing w:after="0" w:line="6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7800" w:space="180"/>
            <w:col w:w="260" w:space="80"/>
            <w:col w:w="160" w:space="180"/>
            <w:col w:w="220" w:space="100"/>
            <w:col w:w="2400"/>
          </w:cols>
          <w:pgMar w:left="240" w:top="727" w:right="279" w:bottom="1440" w:gutter="0" w:footer="0" w:header="0"/>
          <w:type w:val="continuous"/>
        </w:sectPr>
      </w:pPr>
    </w:p>
    <w:p>
      <w:pPr>
        <w:ind w:right="360" w:firstLine="405"/>
        <w:spacing w:after="0" w:line="275" w:lineRule="auto"/>
        <w:rPr>
          <w:sz w:val="20"/>
          <w:szCs w:val="20"/>
          <w:color w:val="auto"/>
        </w:rPr>
      </w:pPr>
      <w:r>
        <w:rPr>
          <w:rFonts w:ascii="Times New Roman" w:cs="Times New Roman" w:eastAsia="Times New Roman" w:hAnsi="Times New Roman"/>
          <w:sz w:val="18"/>
          <w:szCs w:val="18"/>
          <w:color w:val="auto"/>
        </w:rPr>
        <w:t>The approximate aggregate market value of voting and non-voting stock held by non-affiliates of the registrant was $89,797,013,692 as of June 30, 2014</w:t>
      </w:r>
      <w:r>
        <w:rPr>
          <w:rFonts w:ascii="Times New Roman" w:cs="Times New Roman" w:eastAsia="Times New Roman" w:hAnsi="Times New Roman"/>
          <w:sz w:val="25"/>
          <w:szCs w:val="25"/>
          <w:color w:val="auto"/>
          <w:vertAlign w:val="superscript"/>
        </w:rPr>
        <w:t>(A)</w:t>
      </w:r>
    </w:p>
    <w:p>
      <w:pPr>
        <w:spacing w:after="0" w:line="66" w:lineRule="exact"/>
        <w:rPr>
          <w:sz w:val="24"/>
          <w:szCs w:val="24"/>
          <w:color w:val="auto"/>
        </w:rPr>
      </w:pPr>
    </w:p>
    <w:p>
      <w:pPr>
        <w:ind w:left="420" w:hanging="412"/>
        <w:spacing w:after="0" w:line="255" w:lineRule="auto"/>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805,131 shares of common stock held by directors and executive officers at June 30, 2014.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758,861,306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(Number of shares of common stock outstanding as of February 12, 2015)</w:t>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40" w:lineRule="exact"/>
        <w:rPr>
          <w:sz w:val="24"/>
          <w:szCs w:val="24"/>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Specified portions of the registrant’s Proxy Statement with respect to the 2015 Annual Meeting of stockholders to be held May 14, 2015, are incorporated by reference into Part III of this annual report.</w:t>
      </w:r>
    </w:p>
    <w:p>
      <w:pPr>
        <w:sectPr>
          <w:pgSz w:w="11900" w:h="16838" w:orient="portrait"/>
          <w:cols w:equalWidth="0" w:num="1">
            <w:col w:w="11380"/>
          </w:cols>
          <w:pgMar w:left="240" w:top="727" w:right="27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2"/>
          </w:tcPr>
          <w:p>
            <w:pPr>
              <w:spacing w:after="0" w:line="170"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9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Times New Roman" w:cs="Times New Roman" w:eastAsia="Times New Roman" w:hAnsi="Times New Roman"/>
                <w:sz w:val="18"/>
                <w:szCs w:val="18"/>
                <w:color w:val="0000EE"/>
                <w:w w:val="88"/>
              </w:rPr>
            </w:pPr>
            <w:hyperlink w:anchor="page2">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8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BUSINESS</w:t>
              </w:r>
            </w:hyperlink>
          </w:p>
        </w:tc>
        <w:tc>
          <w:tcPr>
            <w:tcW w:w="8120" w:type="dxa"/>
            <w:vAlign w:val="bottom"/>
            <w:gridSpan w:val="26"/>
          </w:tcPr>
          <w:p>
            <w:pPr>
              <w:spacing w:after="0"/>
              <w:rPr>
                <w:sz w:val="22"/>
                <w:szCs w:val="22"/>
                <w:color w:val="auto"/>
              </w:rPr>
            </w:pPr>
          </w:p>
        </w:tc>
        <w:tc>
          <w:tcPr>
            <w:tcW w:w="68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Significant Developments</w:t>
              </w:r>
            </w:hyperlink>
          </w:p>
        </w:tc>
        <w:tc>
          <w:tcPr>
            <w:tcW w:w="7100" w:type="dxa"/>
            <w:vAlign w:val="bottom"/>
            <w:gridSpan w:val="1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Marketing, Distribution and Selected Marketed Products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Reimbursement</w:t>
              </w:r>
            </w:hyperlink>
          </w:p>
        </w:tc>
        <w:tc>
          <w:tcPr>
            <w:tcW w:w="4900" w:type="dxa"/>
            <w:vAlign w:val="bottom"/>
            <w:gridSpan w:val="10"/>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Manufacturing, Distribution and Raw Materials</w:t>
              </w:r>
            </w:hyperlink>
          </w:p>
        </w:tc>
        <w:tc>
          <w:tcPr>
            <w:tcW w:w="5540" w:type="dxa"/>
            <w:vAlign w:val="bottom"/>
            <w:gridSpan w:val="1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gridSpan w:val="8"/>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Government Regulation</w:t>
              </w:r>
            </w:hyperlink>
          </w:p>
        </w:tc>
        <w:tc>
          <w:tcPr>
            <w:tcW w:w="7240" w:type="dxa"/>
            <w:vAlign w:val="bottom"/>
            <w:gridSpan w:val="1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0" w:type="dxa"/>
            <w:vAlign w:val="bottom"/>
            <w:gridSpan w:val="18"/>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Research and Development and Selected Product Candidates</w:t>
              </w:r>
            </w:hyperlink>
          </w:p>
        </w:tc>
        <w:tc>
          <w:tcPr>
            <w:tcW w:w="458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0" w:type="dxa"/>
            <w:vAlign w:val="bottom"/>
            <w:gridSpan w:val="18"/>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Business Relationships</w:t>
              </w:r>
            </w:hyperlink>
          </w:p>
        </w:tc>
        <w:tc>
          <w:tcPr>
            <w:tcW w:w="458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Human Resources</w:t>
              </w:r>
            </w:hyperlink>
          </w:p>
        </w:tc>
        <w:tc>
          <w:tcPr>
            <w:tcW w:w="340" w:type="dxa"/>
            <w:vAlign w:val="bottom"/>
            <w:gridSpan w:val="2"/>
          </w:tcPr>
          <w:p>
            <w:pPr>
              <w:spacing w:after="0"/>
              <w:rPr>
                <w:sz w:val="21"/>
                <w:szCs w:val="21"/>
                <w:color w:val="auto"/>
              </w:rPr>
            </w:pPr>
          </w:p>
        </w:tc>
        <w:tc>
          <w:tcPr>
            <w:tcW w:w="73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0" w:type="dxa"/>
            <w:vAlign w:val="bottom"/>
            <w:gridSpan w:val="12"/>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Executive Officers of the Registrant</w:t>
              </w:r>
            </w:hyperlink>
          </w:p>
        </w:tc>
        <w:tc>
          <w:tcPr>
            <w:tcW w:w="638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20" w:type="dxa"/>
            <w:vAlign w:val="bottom"/>
            <w:gridSpan w:val="13"/>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Geographic Area Financial Information</w:t>
              </w:r>
            </w:hyperlink>
          </w:p>
        </w:tc>
        <w:tc>
          <w:tcPr>
            <w:tcW w:w="616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gridSpan w:val="6"/>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Investor Information</w:t>
              </w:r>
            </w:hyperlink>
          </w:p>
        </w:tc>
        <w:tc>
          <w:tcPr>
            <w:tcW w:w="1320" w:type="dxa"/>
            <w:vAlign w:val="bottom"/>
            <w:gridSpan w:val="7"/>
          </w:tcPr>
          <w:p>
            <w:pPr>
              <w:spacing w:after="0"/>
              <w:rPr>
                <w:sz w:val="21"/>
                <w:szCs w:val="21"/>
                <w:color w:val="auto"/>
              </w:rPr>
            </w:pPr>
          </w:p>
        </w:tc>
        <w:tc>
          <w:tcPr>
            <w:tcW w:w="616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1220" w:type="dxa"/>
            <w:vAlign w:val="bottom"/>
            <w:gridSpan w:val="4"/>
          </w:tcPr>
          <w:p>
            <w:pPr>
              <w:spacing w:after="0"/>
              <w:rPr>
                <w:rFonts w:ascii="Times New Roman" w:cs="Times New Roman" w:eastAsia="Times New Roman" w:hAnsi="Times New Roman"/>
                <w:sz w:val="18"/>
                <w:szCs w:val="18"/>
                <w:color w:val="0000EE"/>
                <w:w w:val="93"/>
              </w:rPr>
            </w:pPr>
            <w:hyperlink w:anchor="page25">
              <w:r>
                <w:rPr>
                  <w:rFonts w:ascii="Times New Roman" w:cs="Times New Roman" w:eastAsia="Times New Roman" w:hAnsi="Times New Roman"/>
                  <w:sz w:val="18"/>
                  <w:szCs w:val="18"/>
                  <w:color w:val="0000EE"/>
                  <w:w w:val="93"/>
                </w:rPr>
                <w:t>RISK FACTORS</w:t>
              </w:r>
            </w:hyperlink>
          </w:p>
        </w:tc>
        <w:tc>
          <w:tcPr>
            <w:tcW w:w="280" w:type="dxa"/>
            <w:vAlign w:val="bottom"/>
            <w:gridSpan w:val="2"/>
          </w:tcPr>
          <w:p>
            <w:pPr>
              <w:spacing w:after="0"/>
              <w:rPr>
                <w:sz w:val="21"/>
                <w:szCs w:val="21"/>
                <w:color w:val="auto"/>
              </w:rPr>
            </w:pPr>
          </w:p>
        </w:tc>
        <w:tc>
          <w:tcPr>
            <w:tcW w:w="7480" w:type="dxa"/>
            <w:vAlign w:val="bottom"/>
            <w:gridSpan w:val="21"/>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UNRESOLVED STAFF COMMENTS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1060" w:type="dxa"/>
            <w:vAlign w:val="bottom"/>
            <w:gridSpan w:val="2"/>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PROPERTIES</w:t>
              </w:r>
            </w:hyperlink>
          </w:p>
        </w:tc>
        <w:tc>
          <w:tcPr>
            <w:tcW w:w="1760" w:type="dxa"/>
            <w:vAlign w:val="bottom"/>
            <w:gridSpan w:val="11"/>
          </w:tcPr>
          <w:p>
            <w:pPr>
              <w:spacing w:after="0"/>
              <w:rPr>
                <w:sz w:val="21"/>
                <w:szCs w:val="21"/>
                <w:color w:val="auto"/>
              </w:rPr>
            </w:pPr>
          </w:p>
        </w:tc>
        <w:tc>
          <w:tcPr>
            <w:tcW w:w="616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880" w:type="dxa"/>
            <w:vAlign w:val="bottom"/>
            <w:gridSpan w:val="9"/>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LEGAL PROCEEDINGS</w:t>
              </w:r>
            </w:hyperlink>
          </w:p>
        </w:tc>
        <w:tc>
          <w:tcPr>
            <w:tcW w:w="71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MINE SAFETY DISCLOSURES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37</w:t>
              </w:r>
            </w:hyperlink>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Times New Roman" w:cs="Times New Roman" w:eastAsia="Times New Roman" w:hAnsi="Times New Roman"/>
                <w:sz w:val="18"/>
                <w:szCs w:val="18"/>
                <w:b w:val="1"/>
                <w:bCs w:val="1"/>
                <w:color w:val="0000EE"/>
                <w:w w:val="94"/>
              </w:rPr>
            </w:pPr>
            <w:hyperlink w:anchor="page39">
              <w:r>
                <w:rPr>
                  <w:rFonts w:ascii="Times New Roman" w:cs="Times New Roman" w:eastAsia="Times New Roman" w:hAnsi="Times New Roman"/>
                  <w:sz w:val="18"/>
                  <w:szCs w:val="18"/>
                  <w:b w:val="1"/>
                  <w:bCs w:val="1"/>
                  <w:color w:val="0000EE"/>
                  <w:w w:val="94"/>
                </w:rPr>
                <w:t>PART II</w:t>
              </w:r>
            </w:hyperlink>
          </w:p>
        </w:tc>
        <w:tc>
          <w:tcPr>
            <w:tcW w:w="940" w:type="dxa"/>
            <w:vAlign w:val="bottom"/>
            <w:gridSpan w:val="3"/>
            <w:vMerge w:val="restart"/>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c>
          <w:tcPr>
            <w:tcW w:w="0" w:type="dxa"/>
            <w:vAlign w:val="bottom"/>
          </w:tcPr>
          <w:p>
            <w:pPr>
              <w:spacing w:after="0"/>
              <w:rPr>
                <w:sz w:val="1"/>
                <w:szCs w:val="1"/>
                <w:color w:val="auto"/>
              </w:rPr>
            </w:pPr>
          </w:p>
        </w:tc>
      </w:tr>
      <w:tr>
        <w:trPr>
          <w:trHeight w:val="250"/>
        </w:trPr>
        <w:tc>
          <w:tcPr>
            <w:tcW w:w="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0" w:type="dxa"/>
            <w:vAlign w:val="bottom"/>
            <w:gridSpan w:val="3"/>
          </w:tcPr>
          <w:p>
            <w:pPr>
              <w:spacing w:after="0"/>
              <w:rPr>
                <w:sz w:val="21"/>
                <w:szCs w:val="21"/>
                <w:color w:val="auto"/>
              </w:rPr>
            </w:pP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MARKET FOR REGISTRANT’S COMMON EQUITY, RELATED STOCKHOLDER MATTERS AND ISSUER</w:t>
              </w:r>
            </w:hyperlink>
          </w:p>
        </w:tc>
        <w:tc>
          <w:tcPr>
            <w:tcW w:w="6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80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3100" w:type="dxa"/>
            <w:vAlign w:val="bottom"/>
            <w:gridSpan w:val="14"/>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SELECTED FINANCIAL DATA</w:t>
              </w:r>
            </w:hyperlink>
          </w:p>
        </w:tc>
        <w:tc>
          <w:tcPr>
            <w:tcW w:w="588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920" w:type="dxa"/>
            <w:vAlign w:val="bottom"/>
            <w:gridSpan w:val="26"/>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8920" w:type="dxa"/>
            <w:vAlign w:val="bottom"/>
            <w:gridSpan w:val="26"/>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QUANTITATIVE AND QUALITATIVE DISCLOSURES ABOUT MARKET RISK</w:t>
              </w:r>
            </w:hyperlink>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4660" w:type="dxa"/>
            <w:vAlign w:val="bottom"/>
            <w:gridSpan w:val="19"/>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FINANCIAL STATEMENTS AND SUPPLEMENTARY DATA</w:t>
              </w:r>
            </w:hyperlink>
          </w:p>
        </w:tc>
        <w:tc>
          <w:tcPr>
            <w:tcW w:w="1480" w:type="dxa"/>
            <w:vAlign w:val="bottom"/>
          </w:tcPr>
          <w:p>
            <w:pPr>
              <w:spacing w:after="0"/>
              <w:rPr>
                <w:sz w:val="21"/>
                <w:szCs w:val="21"/>
                <w:color w:val="auto"/>
              </w:rPr>
            </w:pPr>
          </w:p>
        </w:tc>
        <w:tc>
          <w:tcPr>
            <w:tcW w:w="284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CHANGES IN AND DISAGREEMENTS WITH ACCOUNTANTS ON ACCOUNTING AND FINANCIAL</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DISCLOSURES</w:t>
              </w:r>
            </w:hyperlink>
          </w:p>
        </w:tc>
        <w:tc>
          <w:tcPr>
            <w:tcW w:w="6720" w:type="dxa"/>
            <w:vAlign w:val="bottom"/>
            <w:tcBorders>
              <w:top w:val="single" w:sz="8" w:color="0000EE"/>
            </w:tcBorders>
            <w:gridSpan w:val="19"/>
          </w:tcPr>
          <w:p>
            <w:pPr>
              <w:spacing w:after="0"/>
              <w:rPr>
                <w:sz w:val="17"/>
                <w:szCs w:val="17"/>
                <w:color w:val="auto"/>
              </w:rPr>
            </w:pPr>
          </w:p>
        </w:tc>
        <w:tc>
          <w:tcPr>
            <w:tcW w:w="1040" w:type="dxa"/>
            <w:vAlign w:val="bottom"/>
            <w:gridSpan w:val="4"/>
          </w:tcPr>
          <w:p>
            <w:pPr>
              <w:spacing w:after="0"/>
              <w:rPr>
                <w:sz w:val="17"/>
                <w:szCs w:val="17"/>
                <w:color w:val="auto"/>
              </w:rPr>
            </w:pPr>
          </w:p>
        </w:tc>
        <w:tc>
          <w:tcPr>
            <w:tcW w:w="80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CONTROLS AND PROCEDURES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2600" w:type="dxa"/>
            <w:vAlign w:val="bottom"/>
            <w:gridSpan w:val="12"/>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638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63</w:t>
              </w:r>
            </w:hyperlink>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rFonts w:ascii="Times New Roman" w:cs="Times New Roman" w:eastAsia="Times New Roman" w:hAnsi="Times New Roman"/>
                <w:sz w:val="18"/>
                <w:szCs w:val="18"/>
                <w:b w:val="1"/>
                <w:bCs w:val="1"/>
                <w:color w:val="0000EE"/>
                <w:w w:val="91"/>
              </w:rPr>
            </w:pPr>
            <w:hyperlink w:anchor="page65">
              <w:r>
                <w:rPr>
                  <w:rFonts w:ascii="Times New Roman" w:cs="Times New Roman" w:eastAsia="Times New Roman" w:hAnsi="Times New Roman"/>
                  <w:sz w:val="18"/>
                  <w:szCs w:val="18"/>
                  <w:b w:val="1"/>
                  <w:bCs w:val="1"/>
                  <w:color w:val="0000EE"/>
                  <w:w w:val="91"/>
                </w:rPr>
                <w:t>PART III</w:t>
              </w:r>
            </w:hyperlink>
          </w:p>
        </w:tc>
        <w:tc>
          <w:tcPr>
            <w:tcW w:w="880" w:type="dxa"/>
            <w:vAlign w:val="bottom"/>
            <w:gridSpan w:val="2"/>
            <w:vMerge w:val="restart"/>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3"/>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880" w:type="dxa"/>
            <w:vAlign w:val="bottom"/>
            <w:gridSpan w:val="2"/>
          </w:tcPr>
          <w:p>
            <w:pPr>
              <w:spacing w:after="0"/>
              <w:rPr>
                <w:sz w:val="21"/>
                <w:szCs w:val="21"/>
                <w:color w:val="auto"/>
              </w:rPr>
            </w:pPr>
          </w:p>
        </w:tc>
        <w:tc>
          <w:tcPr>
            <w:tcW w:w="7640" w:type="dxa"/>
            <w:vAlign w:val="bottom"/>
            <w:gridSpan w:val="21"/>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DIRECTORS, EXECUTIVE OFFICERS AND CORPORATE GOVERNANCE OF THE REGISTRANT</w:t>
              </w:r>
            </w:hyperlink>
          </w:p>
        </w:tc>
        <w:tc>
          <w:tcPr>
            <w:tcW w:w="134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7640" w:type="dxa"/>
            <w:vAlign w:val="bottom"/>
            <w:gridSpan w:val="21"/>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EXECUTIVE COMPENSATION</w:t>
              </w:r>
            </w:hyperlink>
          </w:p>
        </w:tc>
        <w:tc>
          <w:tcPr>
            <w:tcW w:w="134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64</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8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SECURITY OWNERSHIP OF CERTAIN BENEFICIAL OWNERS AND MANAGEMENT AND RELATED</w:t>
              </w:r>
            </w:hyperlink>
          </w:p>
        </w:tc>
        <w:tc>
          <w:tcPr>
            <w:tcW w:w="96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80" w:type="dxa"/>
            <w:vAlign w:val="bottom"/>
            <w:gridSpan w:val="2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STOCKHOLDER MATTERS</w:t>
              </w:r>
            </w:hyperlink>
          </w:p>
        </w:tc>
        <w:tc>
          <w:tcPr>
            <w:tcW w:w="80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10"/>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660" w:type="dxa"/>
            <w:vAlign w:val="bottom"/>
            <w:gridSpan w:val="22"/>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CERTAIN RELATIONSHIPS AND RELATED TRANSACTIONS AND DIRECTOR INDEPENDENCE</w:t>
              </w:r>
            </w:hyperlink>
          </w:p>
        </w:tc>
        <w:tc>
          <w:tcPr>
            <w:tcW w:w="132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60" w:type="dxa"/>
            <w:vAlign w:val="bottom"/>
            <w:gridSpan w:val="1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60" w:type="dxa"/>
            <w:vAlign w:val="bottom"/>
            <w:tcBorders>
              <w:left w:val="single" w:sz="8" w:color="0000EE"/>
            </w:tcBorders>
            <w:gridSpan w:val="4"/>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7660" w:type="dxa"/>
            <w:vAlign w:val="bottom"/>
            <w:gridSpan w:val="22"/>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PRINCIPAL ACCOUNTANT FEES AND SERVICES</w:t>
              </w:r>
            </w:hyperlink>
          </w:p>
        </w:tc>
        <w:tc>
          <w:tcPr>
            <w:tcW w:w="132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rFonts w:ascii="Times New Roman" w:cs="Times New Roman" w:eastAsia="Times New Roman" w:hAnsi="Times New Roman"/>
                <w:sz w:val="18"/>
                <w:szCs w:val="18"/>
                <w:b w:val="1"/>
                <w:bCs w:val="1"/>
                <w:color w:val="0000EE"/>
                <w:w w:val="92"/>
              </w:rPr>
            </w:pPr>
            <w:hyperlink w:anchor="page68">
              <w:r>
                <w:rPr>
                  <w:rFonts w:ascii="Times New Roman" w:cs="Times New Roman" w:eastAsia="Times New Roman" w:hAnsi="Times New Roman"/>
                  <w:sz w:val="18"/>
                  <w:szCs w:val="18"/>
                  <w:b w:val="1"/>
                  <w:bCs w:val="1"/>
                  <w:color w:val="0000EE"/>
                  <w:w w:val="92"/>
                </w:rPr>
                <w:t>PART IV</w:t>
              </w:r>
            </w:hyperlink>
          </w:p>
        </w:tc>
        <w:tc>
          <w:tcPr>
            <w:tcW w:w="880" w:type="dxa"/>
            <w:vAlign w:val="bottom"/>
            <w:gridSpan w:val="2"/>
            <w:vMerge w:val="restart"/>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3"/>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18"/>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880" w:type="dxa"/>
            <w:vAlign w:val="bottom"/>
            <w:gridSpan w:val="2"/>
          </w:tcPr>
          <w:p>
            <w:pPr>
              <w:spacing w:after="0"/>
              <w:rPr>
                <w:sz w:val="21"/>
                <w:szCs w:val="21"/>
                <w:color w:val="auto"/>
              </w:rPr>
            </w:pPr>
          </w:p>
        </w:tc>
        <w:tc>
          <w:tcPr>
            <w:tcW w:w="4400" w:type="dxa"/>
            <w:vAlign w:val="bottom"/>
            <w:gridSpan w:val="18"/>
          </w:tcPr>
          <w:p>
            <w:pPr>
              <w:spacing w:after="0"/>
              <w:rPr>
                <w:rFonts w:ascii="Times New Roman" w:cs="Times New Roman" w:eastAsia="Times New Roman" w:hAnsi="Times New Roman"/>
                <w:sz w:val="18"/>
                <w:szCs w:val="18"/>
                <w:color w:val="0000EE"/>
                <w:w w:val="97"/>
              </w:rPr>
            </w:pPr>
            <w:hyperlink w:anchor="page69">
              <w:r>
                <w:rPr>
                  <w:rFonts w:ascii="Times New Roman" w:cs="Times New Roman" w:eastAsia="Times New Roman" w:hAnsi="Times New Roman"/>
                  <w:sz w:val="18"/>
                  <w:szCs w:val="18"/>
                  <w:color w:val="0000EE"/>
                  <w:w w:val="97"/>
                </w:rPr>
                <w:t>EXHIBITS AND FINANCIAL STATEMENT SCHEDULES</w:t>
              </w:r>
            </w:hyperlink>
          </w:p>
        </w:tc>
        <w:tc>
          <w:tcPr>
            <w:tcW w:w="458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0"/>
        </w:trPr>
        <w:tc>
          <w:tcPr>
            <w:tcW w:w="11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SIGNATURES</w:t>
              </w:r>
            </w:hyperlink>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73</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focuses on areas of high unmet medical need and leverages its biologics manufacturing expertise to strive for solutions that improve health outcomes and dramatically improve people's lives. A biotechnology pioneer, Amgen has grown to be one of the world's leading independent biotechnology companies, has reached millions of patients around the world and is developing a pipeline of medicines with breakaway potential.</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Amgen was incorporated in California in 1980 and became a Delaware corporation in 1987. Amgen operates in one business segment: human therapeutics.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summary of significant developments that occurred in 2014 and early 2015 affecting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Products/Pipeline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Cardiovascular</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Repatha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(evolocumab)*</w:t>
      </w:r>
    </w:p>
    <w:p>
      <w:pPr>
        <w:spacing w:after="0" w:line="133" w:lineRule="exact"/>
        <w:rPr>
          <w:sz w:val="20"/>
          <w:szCs w:val="20"/>
          <w:color w:val="auto"/>
        </w:rPr>
      </w:pPr>
    </w:p>
    <w:p>
      <w:pPr>
        <w:jc w:val="both"/>
        <w:ind w:left="660" w:hanging="166"/>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the phase 3 YUKAWA-2 (StudY of LDL-Cholesterol Reduction Using a Monoclonal PCSK9 Antibody in Japanese Patients With Advanced Cardiovascular Risk) study evaluating evolocumab in combination with statin therapy in Japanese patients with high cardiovascular risk and high cholesterol met its co-primary endpoints.</w:t>
      </w:r>
    </w:p>
    <w:p>
      <w:pPr>
        <w:spacing w:after="0" w:line="68" w:lineRule="exact"/>
        <w:rPr>
          <w:rFonts w:ascii="Times New Roman" w:cs="Times New Roman" w:eastAsia="Times New Roman" w:hAnsi="Times New Roman"/>
          <w:sz w:val="18"/>
          <w:szCs w:val="18"/>
          <w:color w:val="auto"/>
        </w:rPr>
      </w:pPr>
    </w:p>
    <w:p>
      <w:pPr>
        <w:ind w:left="660" w:hanging="166"/>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2014, we announced that we submitted a Marketing Authorization Application (MAA) to the European Medicines Agency (EMA) for the treatment of high cholesterol.</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we announced that the U.S. Food and Drug Administration (FDA) accepted for review our Biologics License Application (BLA) for evolocumab for the treatment of high cholesterol.</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Corlanor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010202"/>
        </w:rPr>
        <w:t>(i</w:t>
      </w:r>
      <w:r>
        <w:rPr>
          <w:rFonts w:ascii="Times New Roman" w:cs="Times New Roman" w:eastAsia="Times New Roman" w:hAnsi="Times New Roman"/>
          <w:sz w:val="18"/>
          <w:szCs w:val="18"/>
          <w:i w:val="1"/>
          <w:iCs w:val="1"/>
          <w:color w:val="auto"/>
        </w:rPr>
        <w:t>vabradine)*</w:t>
      </w:r>
    </w:p>
    <w:p>
      <w:pPr>
        <w:spacing w:after="0" w:line="47" w:lineRule="exact"/>
        <w:rPr>
          <w:sz w:val="20"/>
          <w:szCs w:val="20"/>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the FDA granted priority review designation for the treatment of chronic heart failure.</w:t>
      </w:r>
    </w:p>
    <w:p>
      <w:pPr>
        <w:spacing w:after="0" w:line="108" w:lineRule="exact"/>
        <w:rPr>
          <w:rFonts w:ascii="Times New Roman" w:cs="Times New Roman" w:eastAsia="Times New Roman" w:hAnsi="Times New Roman"/>
          <w:sz w:val="18"/>
          <w:szCs w:val="18"/>
          <w:color w:val="auto"/>
        </w:rPr>
      </w:pPr>
    </w:p>
    <w:p>
      <w:pPr>
        <w:ind w:left="660" w:hanging="166"/>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2015, we announced a three-month extension of the Prescription Drug User Fee Act (PDUFA) target action date due to a request from the FDA for submission of additional existing clinical data, which has been submitted.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Inflammation</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Brodalumab</w:t>
      </w:r>
    </w:p>
    <w:p>
      <w:pPr>
        <w:spacing w:after="0" w:line="160"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2014, we announced the initiation of two phase 3 studies in patients with psoriatic arthritis.</w:t>
      </w:r>
    </w:p>
    <w:p>
      <w:pPr>
        <w:spacing w:after="0" w:line="117" w:lineRule="exact"/>
        <w:rPr>
          <w:rFonts w:ascii="Times New Roman" w:cs="Times New Roman" w:eastAsia="Times New Roman" w:hAnsi="Times New Roman"/>
          <w:sz w:val="18"/>
          <w:szCs w:val="18"/>
          <w:color w:val="auto"/>
        </w:rPr>
      </w:pPr>
    </w:p>
    <w:p>
      <w:pPr>
        <w:ind w:left="660" w:right="20" w:hanging="166"/>
        <w:spacing w:after="0" w:line="21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and AstraZeneca Plc. (AstraZeneca) announced that all three phase 3 AMAGINE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trials evaluating brodalumab in patients with moderate-to-severe plaque psoriasis met all their primary endpoints.</w:t>
      </w:r>
    </w:p>
    <w:p>
      <w:pPr>
        <w:spacing w:after="0" w:line="89" w:lineRule="exact"/>
        <w:rPr>
          <w:sz w:val="20"/>
          <w:szCs w:val="20"/>
          <w:color w:val="auto"/>
        </w:rPr>
      </w:pPr>
    </w:p>
    <w:p>
      <w:pPr>
        <w:jc w:val="right"/>
        <w:ind w:right="10240"/>
        <w:spacing w:after="0"/>
        <w:rPr>
          <w:sz w:val="20"/>
          <w:szCs w:val="20"/>
          <w:color w:val="auto"/>
        </w:rPr>
      </w:pPr>
      <w:r>
        <w:rPr>
          <w:rFonts w:ascii="Times New Roman" w:cs="Times New Roman" w:eastAsia="Times New Roman" w:hAnsi="Times New Roman"/>
          <w:sz w:val="18"/>
          <w:szCs w:val="18"/>
          <w:i w:val="1"/>
          <w:iCs w:val="1"/>
          <w:color w:val="auto"/>
        </w:rPr>
        <w:t>Nephrology</w:t>
      </w:r>
    </w:p>
    <w:p>
      <w:pPr>
        <w:spacing w:after="0" w:line="171" w:lineRule="exact"/>
        <w:rPr>
          <w:sz w:val="20"/>
          <w:szCs w:val="20"/>
          <w:color w:val="auto"/>
        </w:rPr>
      </w:pPr>
    </w:p>
    <w:p>
      <w:pPr>
        <w:jc w:val="right"/>
        <w:ind w:right="10220"/>
        <w:spacing w:after="0"/>
        <w:rPr>
          <w:sz w:val="20"/>
          <w:szCs w:val="20"/>
          <w:color w:val="auto"/>
        </w:rPr>
      </w:pPr>
      <w:r>
        <w:rPr>
          <w:rFonts w:ascii="Times New Roman" w:cs="Times New Roman" w:eastAsia="Times New Roman" w:hAnsi="Times New Roman"/>
          <w:sz w:val="18"/>
          <w:szCs w:val="18"/>
          <w:i w:val="1"/>
          <w:iCs w:val="1"/>
          <w:color w:val="auto"/>
        </w:rPr>
        <w:t>AMG 416</w:t>
      </w:r>
    </w:p>
    <w:p>
      <w:pPr>
        <w:spacing w:after="0" w:line="160" w:lineRule="exact"/>
        <w:rPr>
          <w:sz w:val="20"/>
          <w:szCs w:val="20"/>
          <w:color w:val="auto"/>
        </w:rPr>
      </w:pPr>
    </w:p>
    <w:p>
      <w:pPr>
        <w:ind w:left="660" w:right="20" w:hanging="166"/>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2014, we announced that a phase 3 study evaluating AMG 416 for the treatment of secondary hyperparathyroidism in patients with chronic kidney disease (CKD) receiving hemodialysis, met its primary and all secondary endpoints.</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a second placebo-controlled phase 3 study evaluating AMG 416 for the treatment of secondary hyperparathyroidism in patients with CKD, receiving hemodialysis, met its primary and all secondary endpoints.</w:t>
      </w:r>
    </w:p>
    <w:p>
      <w:pPr>
        <w:spacing w:after="0" w:line="5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FDA provisionally approved trade name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BLINCYTO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(blinatumomab)</w:t>
      </w:r>
    </w:p>
    <w:p>
      <w:pPr>
        <w:spacing w:after="0" w:line="160" w:lineRule="exact"/>
        <w:rPr>
          <w:sz w:val="20"/>
          <w:szCs w:val="20"/>
          <w:color w:val="auto"/>
        </w:rPr>
      </w:pPr>
    </w:p>
    <w:p>
      <w:pPr>
        <w:ind w:left="320" w:hanging="166"/>
        <w:spacing w:after="0" w:line="282"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we announced that we submitted an MAA to the EMA for the treatment of adults with Philadelphia-negative relapsed/refractory B-precursor acute lymphoblastic leukemia (ALL), a rapidly progressing cancer of the blood and bone marrow.</w:t>
      </w:r>
    </w:p>
    <w:p>
      <w:pPr>
        <w:spacing w:after="0" w:line="80" w:lineRule="exact"/>
        <w:rPr>
          <w:rFonts w:ascii="Times New Roman" w:cs="Times New Roman" w:eastAsia="Times New Roman" w:hAnsi="Times New Roman"/>
          <w:sz w:val="18"/>
          <w:szCs w:val="18"/>
          <w:color w:val="auto"/>
        </w:rPr>
      </w:pPr>
    </w:p>
    <w:p>
      <w:pPr>
        <w:jc w:val="both"/>
        <w:ind w:left="320" w:hanging="166"/>
        <w:spacing w:after="0" w:line="228"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we announced that the FDA has granted approval of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patients with Philadelphia chromosome-negative (Ph-) relapsed or refractory B-cell precursor ALL. This indication is approved under accelerated approval and continued approval for this indication may be contingent upon verification of clinical benefit in subsequent trials. Commercial sales launched in December 2014.</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Kyprolis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(carfilzomib) for Injection</w:t>
      </w:r>
    </w:p>
    <w:p>
      <w:pPr>
        <w:spacing w:after="0" w:line="66" w:lineRule="exact"/>
        <w:rPr>
          <w:sz w:val="20"/>
          <w:szCs w:val="20"/>
          <w:color w:val="auto"/>
        </w:rPr>
      </w:pPr>
    </w:p>
    <w:p>
      <w:pPr>
        <w:jc w:val="both"/>
        <w:ind w:left="320" w:hanging="166"/>
        <w:spacing w:after="0" w:line="236"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August 2014, we and our subsidiary Onyx Pharmaceuticals, Inc. (Onyx) announced that a planned interim analysis demonstrated that the phase 3 clinical trial ASPIRE (CArfilzomib, Lenalidomide, and DexamethaSone versus Lenalidomide and Dexamethasone for the treatment of PatIents with Relapsed Multiple MyEloma) met its primary endpoint of progression-free survival (PFS). While the data for overall survival, a secondary endpoint, are not yet mature, the analysis showed a trend in favor of </w:t>
      </w:r>
      <w:r>
        <w:rPr>
          <w:rFonts w:ascii="Times New Roman" w:cs="Times New Roman" w:eastAsia="Times New Roman" w:hAnsi="Times New Roman"/>
          <w:sz w:val="18"/>
          <w:szCs w:val="18"/>
          <w:color w:val="333333"/>
        </w:rPr>
        <w:t>Kyprolis</w:t>
      </w:r>
      <w:r>
        <w:rPr>
          <w:rFonts w:ascii="Times New Roman" w:cs="Times New Roman" w:eastAsia="Times New Roman" w:hAnsi="Times New Roman"/>
          <w:sz w:val="25"/>
          <w:szCs w:val="25"/>
          <w:b w:val="1"/>
          <w:bCs w:val="1"/>
          <w:color w:val="333333"/>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in combination with REVLIMID</w:t>
      </w:r>
      <w:r>
        <w:rPr>
          <w:rFonts w:ascii="Times New Roman" w:cs="Times New Roman" w:eastAsia="Times New Roman" w:hAnsi="Times New Roman"/>
          <w:sz w:val="25"/>
          <w:szCs w:val="25"/>
          <w:b w:val="1"/>
          <w:bCs w:val="1"/>
          <w:color w:val="333333"/>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(lenalidomide) and low-dose dexamethasone</w:t>
      </w:r>
      <w:r>
        <w:rPr>
          <w:rFonts w:ascii="Times New Roman" w:cs="Times New Roman" w:eastAsia="Times New Roman" w:hAnsi="Times New Roman"/>
          <w:sz w:val="18"/>
          <w:szCs w:val="18"/>
          <w:color w:val="auto"/>
        </w:rPr>
        <w:t xml:space="preserve"> that did not reach statistical significance.</w:t>
      </w:r>
    </w:p>
    <w:p>
      <w:pPr>
        <w:spacing w:after="0" w:line="118" w:lineRule="exact"/>
        <w:rPr>
          <w:rFonts w:ascii="Times New Roman" w:cs="Times New Roman" w:eastAsia="Times New Roman" w:hAnsi="Times New Roman"/>
          <w:sz w:val="18"/>
          <w:szCs w:val="18"/>
          <w:color w:val="auto"/>
        </w:rPr>
      </w:pPr>
    </w:p>
    <w:p>
      <w:pPr>
        <w:ind w:left="320" w:right="20" w:hanging="166"/>
        <w:spacing w:after="0" w:line="282"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and Onyx announced that the phase 3 clinical trial FOCUS (CarFilzOmib for AdvanCed Refractory MUltiple Myeloma European Study) did not meet its primary endpoint of improving overall survival.</w:t>
      </w:r>
    </w:p>
    <w:p>
      <w:pPr>
        <w:spacing w:after="0" w:line="80" w:lineRule="exact"/>
        <w:rPr>
          <w:rFonts w:ascii="Times New Roman" w:cs="Times New Roman" w:eastAsia="Times New Roman" w:hAnsi="Times New Roman"/>
          <w:sz w:val="18"/>
          <w:szCs w:val="18"/>
          <w:color w:val="auto"/>
        </w:rPr>
      </w:pPr>
    </w:p>
    <w:p>
      <w:pPr>
        <w:jc w:val="both"/>
        <w:ind w:left="320" w:hanging="166"/>
        <w:spacing w:after="0" w:line="238"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2015, we and Onyx announced the submission of a supplemental New Drug Application (sNDA) to the FDA and an MAA to the EMA for Kyprolis</w:t>
      </w:r>
      <w:r>
        <w:rPr>
          <w:rFonts w:ascii="Times New Roman" w:cs="Times New Roman" w:eastAsia="Times New Roman" w:hAnsi="Times New Roman"/>
          <w:sz w:val="25"/>
          <w:szCs w:val="25"/>
          <w:b w:val="1"/>
          <w:bCs w:val="1"/>
          <w:color w:val="333333"/>
          <w:vertAlign w:val="superscript"/>
        </w:rPr>
        <w:t>®</w:t>
      </w:r>
      <w:r>
        <w:rPr>
          <w:rFonts w:ascii="Times New Roman" w:cs="Times New Roman" w:eastAsia="Times New Roman" w:hAnsi="Times New Roman"/>
          <w:sz w:val="18"/>
          <w:szCs w:val="18"/>
          <w:color w:val="auto"/>
        </w:rPr>
        <w:t xml:space="preserve"> to seek approval for the treatment of patients with relapsed multiple myeloma who have received at least one prior therapy. In the United States, the sNDA is designed to support the conversion of accelerated approval to full approval and expand the current approved indication. In the European Union (EU), Kyprolis</w:t>
      </w:r>
      <w:r>
        <w:rPr>
          <w:rFonts w:ascii="Times New Roman" w:cs="Times New Roman" w:eastAsia="Times New Roman" w:hAnsi="Times New Roman"/>
          <w:sz w:val="25"/>
          <w:szCs w:val="25"/>
          <w:b w:val="1"/>
          <w:bCs w:val="1"/>
          <w:color w:val="333333"/>
          <w:vertAlign w:val="superscript"/>
        </w:rPr>
        <w:t>®</w:t>
      </w:r>
      <w:r>
        <w:rPr>
          <w:rFonts w:ascii="Times New Roman" w:cs="Times New Roman" w:eastAsia="Times New Roman" w:hAnsi="Times New Roman"/>
          <w:sz w:val="18"/>
          <w:szCs w:val="18"/>
          <w:color w:val="auto"/>
        </w:rPr>
        <w:t xml:space="preserve"> received orphan drug designation and the MAA has been granted accelerated assessment.</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(pegfilgrastim)</w:t>
      </w:r>
    </w:p>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In December 2014, the FDA granted approval of the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Delivery Kit, including the On-body Injector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Rilotumumab</w:t>
      </w:r>
    </w:p>
    <w:p>
      <w:pPr>
        <w:spacing w:after="0" w:line="146" w:lineRule="exact"/>
        <w:rPr>
          <w:sz w:val="20"/>
          <w:szCs w:val="20"/>
          <w:color w:val="auto"/>
        </w:rPr>
      </w:pPr>
    </w:p>
    <w:p>
      <w:pPr>
        <w:ind w:left="320" w:hanging="166"/>
        <w:spacing w:after="0" w:line="282"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we announced the termination of all Amgen-sponsored clinical studies of rilotumumab in advanced gastric cancer, including the phase 3 RILOMET-1 and RILOMET-2 studies.</w:t>
      </w:r>
    </w:p>
    <w:p>
      <w:pPr>
        <w:spacing w:after="0" w:line="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Talimogene laherparepvec</w:t>
      </w:r>
    </w:p>
    <w:p>
      <w:pPr>
        <w:spacing w:after="0" w:line="146" w:lineRule="exact"/>
        <w:rPr>
          <w:sz w:val="20"/>
          <w:szCs w:val="20"/>
          <w:color w:val="auto"/>
        </w:rPr>
      </w:pPr>
    </w:p>
    <w:p>
      <w:pPr>
        <w:ind w:left="320" w:hanging="166"/>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2014, we announced that we submitted a BLA in the United States for regionally and distantly metastatic melanoma.</w:t>
      </w:r>
    </w:p>
    <w:p>
      <w:pPr>
        <w:spacing w:after="0" w:line="144" w:lineRule="exact"/>
        <w:rPr>
          <w:rFonts w:ascii="Times New Roman" w:cs="Times New Roman" w:eastAsia="Times New Roman" w:hAnsi="Times New Roman"/>
          <w:sz w:val="18"/>
          <w:szCs w:val="18"/>
          <w:color w:val="auto"/>
        </w:rPr>
      </w:pPr>
    </w:p>
    <w:p>
      <w:pPr>
        <w:ind w:left="320" w:hanging="166"/>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2014, we announced that we submitted an MAA to the EMA for the treatment of adults with regionally and distantly metastatic melanoma.</w:t>
      </w:r>
    </w:p>
    <w:p>
      <w:pPr>
        <w:spacing w:after="0" w:line="80" w:lineRule="exact"/>
        <w:rPr>
          <w:rFonts w:ascii="Times New Roman" w:cs="Times New Roman" w:eastAsia="Times New Roman" w:hAnsi="Times New Roman"/>
          <w:sz w:val="18"/>
          <w:szCs w:val="18"/>
          <w:color w:val="auto"/>
        </w:rPr>
      </w:pPr>
    </w:p>
    <w:p>
      <w:pPr>
        <w:ind w:left="320" w:hanging="166"/>
        <w:spacing w:after="0" w:line="282"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2015, we announced a three-month extension of the PDUFA target action date for our BLA due to a request from the FDA for submission of additional existing manufacturing data, which has been submitted.</w:t>
      </w:r>
    </w:p>
    <w:p>
      <w:pPr>
        <w:spacing w:after="0" w:line="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Trebananib</w:t>
      </w:r>
    </w:p>
    <w:p>
      <w:pPr>
        <w:spacing w:after="0" w:line="146" w:lineRule="exact"/>
        <w:rPr>
          <w:sz w:val="20"/>
          <w:szCs w:val="20"/>
          <w:color w:val="auto"/>
        </w:rPr>
      </w:pPr>
    </w:p>
    <w:p>
      <w:pPr>
        <w:jc w:val="both"/>
        <w:ind w:left="320" w:hanging="166"/>
        <w:spacing w:after="0" w:line="289" w:lineRule="auto"/>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2014, we announced the top-line secondary endpoint results of overall survival from the phase 3 TRINOVA-1 trial in women with recurrent platinum-resistant ovarian cancer. The study, which evaluated trebananib plus paclitaxel versus placebo plus paclitaxel, did not demonstrate a statistically significant improvement in overall survival. We have terminated the clinical development program in recurrent ovarian cancer.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146" w:lineRule="exact"/>
        <w:rPr>
          <w:sz w:val="20"/>
          <w:szCs w:val="20"/>
          <w:color w:val="auto"/>
        </w:rPr>
      </w:pPr>
    </w:p>
    <w:p>
      <w:pPr>
        <w:ind w:left="320" w:hanging="166"/>
        <w:spacing w:after="0" w:line="218"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we announced that the phase 3 study evaluating efficacy and safety of biosimilar candidate ABP 501 compared with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(adalimumab) in patients with moderate-to-severe plaque psoriasis met its primary endpoint.</w:t>
      </w:r>
    </w:p>
    <w:p>
      <w:pPr>
        <w:spacing w:after="0" w:line="118" w:lineRule="exact"/>
        <w:rPr>
          <w:rFonts w:ascii="Times New Roman" w:cs="Times New Roman" w:eastAsia="Times New Roman" w:hAnsi="Times New Roman"/>
          <w:sz w:val="18"/>
          <w:szCs w:val="18"/>
          <w:color w:val="auto"/>
        </w:rPr>
      </w:pPr>
    </w:p>
    <w:p>
      <w:pPr>
        <w:ind w:left="320" w:hanging="166"/>
        <w:spacing w:after="0" w:line="218"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2015, we announced that the phase 3 study evaluating efficacy and safety of biosimilar candidate ABP 501 compared with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patients with moderate-to-severe rheumatoid arthritis (RA) met its primary and key secondary endpoints.</w:t>
      </w:r>
    </w:p>
    <w:p>
      <w:pPr>
        <w:spacing w:after="0" w:line="3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580" w:top="57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Next-Generation Biomanufacturing</w:t>
      </w:r>
    </w:p>
    <w:p>
      <w:pPr>
        <w:spacing w:after="0" w:line="146" w:lineRule="exact"/>
        <w:rPr>
          <w:sz w:val="20"/>
          <w:szCs w:val="20"/>
          <w:color w:val="auto"/>
        </w:rPr>
      </w:pPr>
    </w:p>
    <w:p>
      <w:pPr>
        <w:jc w:val="both"/>
        <w:ind w:left="660" w:hanging="166"/>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completed facilities construction and entered the licensure process for a Next-Generation Biomanufacturing facility in Singapore. We believe, when licensed, this facility will enable us to increase our manufacturing productivity versus conventional alternatives at lower capital costs and operating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Reallocating Resources to Drive Growth</w:t>
      </w:r>
    </w:p>
    <w:p>
      <w:pPr>
        <w:spacing w:after="0" w:line="146" w:lineRule="exact"/>
        <w:rPr>
          <w:sz w:val="20"/>
          <w:szCs w:val="20"/>
          <w:color w:val="auto"/>
        </w:rPr>
      </w:pPr>
    </w:p>
    <w:p>
      <w:pPr>
        <w:jc w:val="both"/>
        <w:ind w:left="660" w:hanging="166"/>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half of 2014, we announced a restructuring plan which will reduce staff by between 3,500 and 4,000 positions by the end of 2015. In addition, we will close our facilities in the states of Washington and Colorado, and will reduce the number of buildings at our headquarters in Thousand Oaks, California. The total pre-tax restructuring charges are expected to range between approximately $935 million and $1,035 million. As of December 31, 2014, $558 million of these charges have been incurred.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Marketing, Distribution and Selected Marketed Products</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and marketing forces are mainly located in the United States and Europe. Additionally, we continue to expand the commercialization and marketing of our products into new geographic markets, including Latin America and parts of the Middle East. This is achieved either through the establishment of our own sales and marketing force, acquisition of existing third-party operations or product licenses, or in partnership with third parties. See Business Relationships. Together with our partners, we market our products to healthcare providers, including physicians or their clinics, dialysis centers, hospitals and pharmacies.</w:t>
      </w:r>
    </w:p>
    <w:p>
      <w:pPr>
        <w:spacing w:after="0" w:line="1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we sell primarily to pharmaceutical wholesale distributors. We utilize those wholesale distributors as the principal means of distributing our products to healthcare providers. We also market certain products directly to consumers through direct-to-consumer print and television advertising, as well as through the Internet. For further discussion, see Government Regulation—Regulation of Product Marketing and Promotion. Outside the United States, we sell principally to healthcare providers and/or pharmaceutical wholesale distributors depending on the distribution practice in each country.</w:t>
      </w:r>
    </w:p>
    <w:p>
      <w:pPr>
        <w:spacing w:after="0" w:line="1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product sales to three large wholesalers, AmerisourceBergen Corporation, McKesson Corporation and Cardinal Health, Inc., each accounted for more than 10% of total revenues for each of the years ended December 31, 2014, 2013 and 2012. On a combined basis, these wholesalers accounted for approximately 94%, 93% and 94% of our U.S. gross product sales, respectively, and approximately 77%, 75% and 76% of our worldwide gross revenues, respectively. We monitor the financial condition of our larger customers, and we limit our credit exposure by setting credit limits and, for certain circumstances, requiring letters of credit.</w:t>
      </w:r>
    </w:p>
    <w:p>
      <w:pPr>
        <w:spacing w:after="0" w:line="1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financial information related to our one business segment, see Part IV—Consolidated Statements of Income, Consolidated Balance Sheets and Note 19, Segment information, to the Consolidated Financial Statements.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our principal products primarily in the United States in oncology, inflammation, nephrology and bone health. The following chart shows our product sales by principal product and by geography for the years ended December 31, 2014,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48985" cy="3524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(pegfilgrastim)/NEUPOGEN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(filgrastim)</w:t>
      </w:r>
    </w:p>
    <w:p>
      <w:pPr>
        <w:spacing w:after="0" w:line="66" w:lineRule="exact"/>
        <w:rPr>
          <w:sz w:val="20"/>
          <w:szCs w:val="20"/>
          <w:color w:val="auto"/>
        </w:rPr>
      </w:pPr>
    </w:p>
    <w:p>
      <w:pPr>
        <w:jc w:val="both"/>
        <w:ind w:firstLine="486"/>
        <w:spacing w:after="0" w:line="201" w:lineRule="auto"/>
        <w:rPr>
          <w:sz w:val="20"/>
          <w:szCs w:val="20"/>
          <w:color w:val="auto"/>
        </w:rPr>
      </w:pPr>
      <w:r>
        <w:rPr>
          <w:rFonts w:ascii="Times New Roman" w:cs="Times New Roman" w:eastAsia="Times New Roman" w:hAnsi="Times New Roman"/>
          <w:sz w:val="18"/>
          <w:szCs w:val="18"/>
          <w:color w:val="auto"/>
        </w:rPr>
        <w:t>We market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pegylated protein based on the filgrastim molecule, primarily in the United States and Europe.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launched in 2002 and is indicated to decrease the incidence of infection associated with chemotherapy-induced febrile neutropenia in cancer patients with non-myeloid malignancies. In December 2014, the FDA granted approval of the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Delivery Kit, including the On-body Injector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We market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recombinant-methionyl human granulocyte colony-stimulating factor (G-CSF), primarily in the United States, Canada and Europe.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launched in 1991 and is used primarily in the indication for reducing the incidence of infection as manifested by febrile neutropenia for patients with non-myeloid malignancies undergoing myelosuppressive chemotherapy associated with a significant incidence of severe neutropenia with fever.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Enbrel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(etanercept)</w:t>
      </w:r>
    </w:p>
    <w:p>
      <w:pPr>
        <w:spacing w:after="0" w:line="6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ENBREL primarily in the United States. It was launched in 1998 and is used primarily in the indications for the treatment of adult patients with the following conditions:</w:t>
      </w:r>
    </w:p>
    <w:p>
      <w:pPr>
        <w:spacing w:after="0" w:line="81"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moderately to severely active RA,</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moderate-to-severe plaque psoriasis patients who are candidates for systemic therapy or phototherapy,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psoriatic arthritis.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rights to market and sell ENBREL outside the United States and Canada are reserved to Pfizer Inc. (Pfizer).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XGEVA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/Prolia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(denosumab)</w:t>
      </w:r>
    </w:p>
    <w:p>
      <w:pPr>
        <w:spacing w:after="0" w:line="66" w:lineRule="exact"/>
        <w:rPr>
          <w:sz w:val="20"/>
          <w:szCs w:val="20"/>
          <w:color w:val="auto"/>
        </w:rPr>
      </w:pPr>
    </w:p>
    <w:p>
      <w:pPr>
        <w:jc w:val="both"/>
        <w:ind w:firstLine="486"/>
        <w:spacing w:after="0" w:line="218" w:lineRule="auto"/>
        <w:rPr>
          <w:sz w:val="20"/>
          <w:szCs w:val="20"/>
          <w:color w:val="auto"/>
        </w:rPr>
      </w:pPr>
      <w:r>
        <w:rPr>
          <w:rFonts w:ascii="Times New Roman" w:cs="Times New Roman" w:eastAsia="Times New Roman" w:hAnsi="Times New Roman"/>
          <w:sz w:val="18"/>
          <w:szCs w:val="18"/>
          <w:color w:val="auto"/>
        </w:rPr>
        <w:t>We market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primarily in the United States and Europe. Both products contain the same active ingredient but are approved for different indications, patient populations, doses and frequencies of administration.</w:t>
      </w:r>
    </w:p>
    <w:p>
      <w:pPr>
        <w:spacing w:after="0" w:line="118" w:lineRule="exact"/>
        <w:rPr>
          <w:sz w:val="20"/>
          <w:szCs w:val="20"/>
          <w:color w:val="auto"/>
        </w:rPr>
      </w:pPr>
    </w:p>
    <w:p>
      <w:pPr>
        <w:jc w:val="both"/>
        <w:ind w:firstLine="486"/>
        <w:spacing w:after="0" w:line="214" w:lineRule="auto"/>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launched in the United States in 2010 and is used primarily in the indication for the prevention of skeletal-related events (SREs) (pathological fracture, radiation to bone, spinal cord compression or surgery to bone) in patients with bone metastases from solid tumors. It is not indicated for the prevention of SREs in patients with multiple myeloma.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launched in Europe in 2011 and is used primarily in the indication for the prevention of SREs in adults with bone metastases from solid tumors.</w:t>
      </w:r>
    </w:p>
    <w:p>
      <w:pPr>
        <w:spacing w:after="0" w:line="118" w:lineRule="exact"/>
        <w:rPr>
          <w:sz w:val="20"/>
          <w:szCs w:val="20"/>
          <w:color w:val="auto"/>
        </w:rPr>
      </w:pPr>
    </w:p>
    <w:p>
      <w:pPr>
        <w:jc w:val="both"/>
        <w:ind w:firstLine="486"/>
        <w:spacing w:after="0" w:line="214" w:lineRule="auto"/>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launched in the United States and Europe in 2010. In the United States, it is used primarily in the indication for the treatment of postmenopausal women with osteoporosis at high risk for fracture, defined as a history of osteoporotic fracture, or multiple risk factors for fracture, or patients who have failed or are intolerant to other available osteoporosis therapy. In Europe,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used primarily for the treatment of osteoporosis in postmenopausal women at increased risk of fractures.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ESAs (erythropoiesis-stimulating agents)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EPOGEN</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(epoetin alfa)</w:t>
      </w:r>
    </w:p>
    <w:p>
      <w:pPr>
        <w:spacing w:after="0" w:line="66" w:lineRule="exact"/>
        <w:rPr>
          <w:sz w:val="20"/>
          <w:szCs w:val="20"/>
          <w:color w:val="auto"/>
        </w:rPr>
      </w:pPr>
    </w:p>
    <w:p>
      <w:pPr>
        <w:jc w:val="both"/>
        <w:ind w:firstLine="486"/>
        <w:spacing w:after="0" w:line="228" w:lineRule="auto"/>
        <w:rPr>
          <w:sz w:val="20"/>
          <w:szCs w:val="20"/>
          <w:color w:val="auto"/>
        </w:rPr>
      </w:pPr>
      <w:r>
        <w:rPr>
          <w:rFonts w:ascii="Times New Roman" w:cs="Times New Roman" w:eastAsia="Times New Roman" w:hAnsi="Times New Roman"/>
          <w:sz w:val="18"/>
          <w:szCs w:val="18"/>
          <w:color w:val="auto"/>
        </w:rPr>
        <w:t>We market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for dialysis patients. It was launched in 1989, and we market it for the indication to treat a lower-than-normal number of red blood cells (anemia) caused by CKD in patients on dialysis to lessen the need for red blood cell transfusions. The majority of our sales are to two large dialysis providers.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Aranesp</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(darbepoetin alfa)</w:t>
      </w:r>
    </w:p>
    <w:p>
      <w:pPr>
        <w:spacing w:after="0" w:line="66" w:lineRule="exact"/>
        <w:rPr>
          <w:sz w:val="20"/>
          <w:szCs w:val="20"/>
          <w:color w:val="auto"/>
        </w:rPr>
      </w:pPr>
    </w:p>
    <w:p>
      <w:pPr>
        <w:jc w:val="both"/>
        <w:ind w:firstLine="486"/>
        <w:spacing w:after="0" w:line="228" w:lineRule="auto"/>
        <w:rPr>
          <w:sz w:val="20"/>
          <w:szCs w:val="20"/>
          <w:color w:val="auto"/>
        </w:rPr>
      </w:pPr>
      <w:r>
        <w:rPr>
          <w:rFonts w:ascii="Times New Roman" w:cs="Times New Roman" w:eastAsia="Times New Roman" w:hAnsi="Times New Roman"/>
          <w:sz w:val="18"/>
          <w:szCs w:val="18"/>
          <w:color w:val="auto"/>
        </w:rPr>
        <w:t>We market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primarily in Europe and in the United States. It was launched in 2001 and is indicated for the treatment of anemia associated with CKD (in both patients on dialysis and patients not on dialysis) and the treatment of anemia due to concomitant myelosuppressive chemotherapy in patients with non-myeloid malignancies.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Sensipar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/Mimpara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(cinacalcet)</w:t>
      </w:r>
    </w:p>
    <w:p>
      <w:pPr>
        <w:spacing w:after="0" w:line="66" w:lineRule="exact"/>
        <w:rPr>
          <w:sz w:val="20"/>
          <w:szCs w:val="20"/>
          <w:color w:val="auto"/>
        </w:rPr>
      </w:pPr>
    </w:p>
    <w:p>
      <w:pPr>
        <w:jc w:val="both"/>
        <w:ind w:firstLine="486"/>
        <w:spacing w:after="0" w:line="218" w:lineRule="auto"/>
        <w:rPr>
          <w:sz w:val="20"/>
          <w:szCs w:val="20"/>
          <w:color w:val="auto"/>
        </w:rPr>
      </w:pPr>
      <w:r>
        <w:rPr>
          <w:rFonts w:ascii="Times New Roman" w:cs="Times New Roman" w:eastAsia="Times New Roman" w:hAnsi="Times New Roman"/>
          <w:sz w:val="18"/>
          <w:szCs w:val="18"/>
          <w:color w:val="auto"/>
        </w:rPr>
        <w:t>We market cinacalcet as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primarily in the United States and as 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primarily in Europe. It was launched in 2004 and is used primarily in the indication for the treatment of secondary hyperparathyroidism in CKD patients on dialysis.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Marketed Products</w:t>
      </w:r>
    </w:p>
    <w:p>
      <w:pPr>
        <w:spacing w:after="0" w:line="146" w:lineRule="exact"/>
        <w:rPr>
          <w:sz w:val="20"/>
          <w:szCs w:val="20"/>
          <w:color w:val="auto"/>
        </w:rPr>
      </w:pPr>
    </w:p>
    <w:p>
      <w:pPr>
        <w:jc w:val="both"/>
        <w:ind w:right="20" w:firstLine="486"/>
        <w:spacing w:after="0" w:line="229" w:lineRule="auto"/>
        <w:rPr>
          <w:sz w:val="20"/>
          <w:szCs w:val="20"/>
          <w:color w:val="auto"/>
        </w:rPr>
      </w:pPr>
      <w:r>
        <w:rPr>
          <w:rFonts w:ascii="Times New Roman" w:cs="Times New Roman" w:eastAsia="Times New Roman" w:hAnsi="Times New Roman"/>
          <w:sz w:val="18"/>
          <w:szCs w:val="18"/>
          <w:color w:val="auto"/>
        </w:rPr>
        <w:t>We market several other products including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(marketed by Onyx, an Amgen subsidiary),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(romiplostim),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(panitumumab) and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describes our outstanding material patents for the indicated product by territory, general subject matter and latest expiry date. One or more patents with the same or earlier expiry date may fall under the same “general subject matter” and are not separately listed.</w:t>
      </w:r>
    </w:p>
    <w:p>
      <w:pPr>
        <w:sectPr>
          <w:pgSz w:w="11900" w:h="16838" w:orient="portrait"/>
          <w:cols w:equalWidth="0" w:num="1">
            <w:col w:w="11420"/>
          </w:cols>
          <w:pgMar w:left="240" w:top="576" w:right="239" w:bottom="1440" w:gutter="0" w:footer="0" w:header="0"/>
        </w:sectPr>
      </w:pPr>
    </w:p>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440815" cy="567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5676900"/>
                    </a:xfrm>
                    <a:prstGeom prst="rect">
                      <a:avLst/>
                    </a:prstGeom>
                    <a:noFill/>
                  </pic:spPr>
                </pic:pic>
              </a:graphicData>
            </a:graphic>
          </wp:anchor>
        </w:drawing>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(pegfilgrastim)</w:t>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Enbrel</w:t>
      </w:r>
      <w:r>
        <w:rPr>
          <w:rFonts w:ascii="Times New Roman" w:cs="Times New Roman" w:eastAsia="Times New Roman" w:hAnsi="Times New Roman"/>
          <w:sz w:val="25"/>
          <w:szCs w:val="25"/>
          <w:color w:val="auto"/>
          <w:vertAlign w:val="superscript"/>
          <w:shd w:val="clear" w:color="auto" w:fill="CCEEFF"/>
        </w:rPr>
        <w:t>®</w:t>
      </w: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(etanercept)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ind w:left="40"/>
        <w:spacing w:after="0"/>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(denosumab)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EPOGEN</w:t>
      </w:r>
      <w:r>
        <w:rPr>
          <w:rFonts w:ascii="Times New Roman" w:cs="Times New Roman" w:eastAsia="Times New Roman" w:hAnsi="Times New Roman"/>
          <w:sz w:val="25"/>
          <w:szCs w:val="25"/>
          <w:color w:val="auto"/>
          <w:vertAlign w:val="superscript"/>
          <w:shd w:val="clear" w:color="auto" w:fill="CCEEFF"/>
        </w:rPr>
        <w:t>®</w:t>
      </w: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(epoetin alfa)</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(darbepoetin alfa)</w:t>
      </w: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ind w:left="40"/>
        <w:spacing w:after="0"/>
        <w:rPr>
          <w:sz w:val="20"/>
          <w:szCs w:val="20"/>
          <w:color w:val="auto"/>
        </w:rPr>
      </w:pP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(cinacalcet)</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(panitumumab)</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(romiplostim)</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(carfilzomib)</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BLINCYTO</w:t>
      </w:r>
      <w:r>
        <w:rPr>
          <w:rFonts w:ascii="Arial" w:cs="Arial" w:eastAsia="Arial" w:hAnsi="Arial"/>
          <w:sz w:val="20"/>
          <w:szCs w:val="20"/>
          <w:color w:val="auto"/>
          <w:vertAlign w:val="superscript"/>
        </w:rPr>
        <w:t>™</w:t>
      </w:r>
      <w:r>
        <w:rPr>
          <w:rFonts w:ascii="Times New Roman" w:cs="Times New Roman" w:eastAsia="Times New Roman" w:hAnsi="Times New Roman"/>
          <w:sz w:val="17"/>
          <w:szCs w:val="17"/>
          <w:color w:val="auto"/>
        </w:rPr>
        <w:t xml:space="preserve"> (blinatumomab)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100" w:type="dxa"/>
            <w:vAlign w:val="bottom"/>
            <w:tcBorders>
              <w:bottom w:val="single" w:sz="8" w:color="CCEEFF"/>
            </w:tcBorders>
          </w:tcPr>
          <w:p>
            <w:pPr>
              <w:spacing w:after="0"/>
              <w:rPr>
                <w:sz w:val="16"/>
                <w:szCs w:val="16"/>
                <w:color w:val="auto"/>
              </w:rPr>
            </w:pPr>
          </w:p>
        </w:tc>
        <w:tc>
          <w:tcPr>
            <w:tcW w:w="63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General Subject Matter</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49"/>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Pegylated G-CSF</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10/20/2015</w:t>
            </w:r>
          </w:p>
        </w:tc>
        <w:tc>
          <w:tcPr>
            <w:tcW w:w="0" w:type="dxa"/>
            <w:vAlign w:val="bottom"/>
          </w:tcPr>
          <w:p>
            <w:pPr>
              <w:spacing w:after="0"/>
              <w:rPr>
                <w:sz w:val="1"/>
                <w:szCs w:val="1"/>
                <w:color w:val="auto"/>
              </w:rPr>
            </w:pPr>
          </w:p>
        </w:tc>
      </w:tr>
      <w:tr>
        <w:trPr>
          <w:trHeight w:val="270"/>
        </w:trPr>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bottom w:val="single" w:sz="8" w:color="CCEEFF"/>
            </w:tcBorders>
          </w:tcPr>
          <w:p>
            <w:pPr>
              <w:spacing w:after="0"/>
              <w:rPr>
                <w:sz w:val="23"/>
                <w:szCs w:val="23"/>
                <w:color w:val="auto"/>
              </w:rPr>
            </w:pPr>
          </w:p>
        </w:tc>
        <w:tc>
          <w:tcPr>
            <w:tcW w:w="6360" w:type="dxa"/>
            <w:vAlign w:val="bottom"/>
            <w:tcBorders>
              <w:bottom w:val="single" w:sz="8" w:color="auto"/>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Pegylated G-CSF</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2/8/2015</w:t>
            </w:r>
          </w:p>
        </w:tc>
        <w:tc>
          <w:tcPr>
            <w:tcW w:w="0" w:type="dxa"/>
            <w:vAlign w:val="bottom"/>
          </w:tcPr>
          <w:p>
            <w:pPr>
              <w:spacing w:after="0"/>
              <w:rPr>
                <w:sz w:val="1"/>
                <w:szCs w:val="1"/>
                <w:color w:val="auto"/>
              </w:rPr>
            </w:pPr>
          </w:p>
        </w:tc>
      </w:tr>
      <w:tr>
        <w:trPr>
          <w:trHeight w:val="244"/>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Methods of treating psoriasis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8/13/2019</w:t>
            </w:r>
          </w:p>
        </w:tc>
        <w:tc>
          <w:tcPr>
            <w:tcW w:w="0" w:type="dxa"/>
            <w:vAlign w:val="bottom"/>
          </w:tcPr>
          <w:p>
            <w:pPr>
              <w:spacing w:after="0"/>
              <w:rPr>
                <w:sz w:val="1"/>
                <w:szCs w:val="1"/>
                <w:color w:val="auto"/>
              </w:rPr>
            </w:pPr>
          </w:p>
        </w:tc>
      </w:tr>
      <w:tr>
        <w:trPr>
          <w:trHeight w:val="270"/>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Aqueous formulation and methods of treatment using the formulation</w:t>
            </w:r>
            <w:r>
              <w:rPr>
                <w:rFonts w:ascii="Times New Roman" w:cs="Times New Roman" w:eastAsia="Times New Roman" w:hAnsi="Times New Roman"/>
                <w:sz w:val="25"/>
                <w:szCs w:val="25"/>
                <w:color w:val="auto"/>
                <w:vertAlign w:val="superscript"/>
              </w:rPr>
              <w:t>(2)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6/8/2023</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Fusion protein, and pharmaceutical compositions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11/22/2028</w:t>
            </w:r>
          </w:p>
        </w:tc>
        <w:tc>
          <w:tcPr>
            <w:tcW w:w="0" w:type="dxa"/>
            <w:vAlign w:val="bottom"/>
          </w:tcPr>
          <w:p>
            <w:pPr>
              <w:spacing w:after="0"/>
              <w:rPr>
                <w:sz w:val="1"/>
                <w:szCs w:val="1"/>
                <w:color w:val="auto"/>
              </w:rPr>
            </w:pPr>
          </w:p>
        </w:tc>
      </w:tr>
      <w:tr>
        <w:trPr>
          <w:trHeight w:val="243"/>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DNA encoding fusion protein, and methods of making fusion protein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4/24/2029</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RANKL antibodies; and methods of use</w:t>
            </w:r>
            <w:r>
              <w:rPr>
                <w:rFonts w:ascii="Times New Roman" w:cs="Times New Roman" w:eastAsia="Times New Roman" w:hAnsi="Times New Roman"/>
                <w:sz w:val="25"/>
                <w:szCs w:val="25"/>
                <w:color w:val="auto"/>
                <w:vertAlign w:val="superscript"/>
              </w:rPr>
              <w:t>(3)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12/22/2017</w:t>
            </w:r>
          </w:p>
        </w:tc>
        <w:tc>
          <w:tcPr>
            <w:tcW w:w="0" w:type="dxa"/>
            <w:vAlign w:val="bottom"/>
          </w:tcPr>
          <w:p>
            <w:pPr>
              <w:spacing w:after="0"/>
              <w:rPr>
                <w:sz w:val="1"/>
                <w:szCs w:val="1"/>
                <w:color w:val="auto"/>
              </w:rPr>
            </w:pPr>
          </w:p>
        </w:tc>
      </w:tr>
      <w:tr>
        <w:trPr>
          <w:trHeight w:val="243"/>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Methods of treatment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Nucleic acids encoding RANKL antibodies, and methods of producing RANKL</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11/30/2023</w:t>
            </w:r>
          </w:p>
        </w:tc>
        <w:tc>
          <w:tcPr>
            <w:tcW w:w="0" w:type="dxa"/>
            <w:vAlign w:val="bottom"/>
          </w:tcPr>
          <w:p>
            <w:pPr>
              <w:spacing w:after="0"/>
              <w:rPr>
                <w:sz w:val="1"/>
                <w:szCs w:val="1"/>
                <w:color w:val="auto"/>
              </w:rPr>
            </w:pPr>
          </w:p>
        </w:tc>
      </w:tr>
      <w:tr>
        <w:trPr>
          <w:trHeight w:val="126"/>
        </w:trPr>
        <w:tc>
          <w:tcPr>
            <w:tcW w:w="1320" w:type="dxa"/>
            <w:vAlign w:val="bottom"/>
            <w:gridSpan w:val="2"/>
            <w:vMerge w:val="continue"/>
            <w:shd w:val="clear" w:color="auto" w:fill="CCEEFF"/>
          </w:tcPr>
          <w:p>
            <w:pPr>
              <w:spacing w:after="0"/>
              <w:rPr>
                <w:sz w:val="10"/>
                <w:szCs w:val="10"/>
                <w:color w:val="auto"/>
              </w:rPr>
            </w:pPr>
          </w:p>
        </w:tc>
        <w:tc>
          <w:tcPr>
            <w:tcW w:w="64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antibodies</w:t>
            </w: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480" w:type="dxa"/>
            <w:vAlign w:val="bottom"/>
            <w:tcBorders>
              <w:bottom w:val="single" w:sz="8" w:color="CCEEFF"/>
            </w:tcBorders>
            <w:gridSpan w:val="2"/>
            <w:vMerge w:val="continue"/>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RANKL antibodies including sequences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2/19/2025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RANKL antibodies</w:t>
            </w:r>
            <w:r>
              <w:rPr>
                <w:rFonts w:ascii="Times New Roman" w:cs="Times New Roman" w:eastAsia="Times New Roman" w:hAnsi="Times New Roman"/>
                <w:sz w:val="25"/>
                <w:szCs w:val="25"/>
                <w:color w:val="auto"/>
                <w:vertAlign w:val="superscript"/>
              </w:rPr>
              <w:t>(1)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12/22/2017</w:t>
            </w:r>
          </w:p>
        </w:tc>
        <w:tc>
          <w:tcPr>
            <w:tcW w:w="0" w:type="dxa"/>
            <w:vAlign w:val="bottom"/>
          </w:tcPr>
          <w:p>
            <w:pPr>
              <w:spacing w:after="0"/>
              <w:rPr>
                <w:sz w:val="1"/>
                <w:szCs w:val="1"/>
                <w:color w:val="auto"/>
              </w:rPr>
            </w:pPr>
          </w:p>
        </w:tc>
      </w:tr>
      <w:tr>
        <w:trPr>
          <w:trHeight w:val="270"/>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Medical use of RANKL antibodies</w:t>
            </w:r>
            <w:r>
              <w:rPr>
                <w:rFonts w:ascii="Times New Roman" w:cs="Times New Roman" w:eastAsia="Times New Roman" w:hAnsi="Times New Roman"/>
                <w:sz w:val="25"/>
                <w:szCs w:val="25"/>
                <w:color w:val="auto"/>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4/15/2018</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RANKL antibodies including epitope binding</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2/23/2021</w:t>
            </w:r>
          </w:p>
        </w:tc>
        <w:tc>
          <w:tcPr>
            <w:tcW w:w="0" w:type="dxa"/>
            <w:vAlign w:val="bottom"/>
          </w:tcPr>
          <w:p>
            <w:pPr>
              <w:spacing w:after="0"/>
              <w:rPr>
                <w:sz w:val="1"/>
                <w:szCs w:val="1"/>
                <w:color w:val="auto"/>
              </w:rPr>
            </w:pPr>
          </w:p>
        </w:tc>
      </w:tr>
      <w:tr>
        <w:trPr>
          <w:trHeight w:val="270"/>
        </w:trPr>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bottom w:val="single" w:sz="8" w:color="CCEEFF"/>
            </w:tcBorders>
          </w:tcPr>
          <w:p>
            <w:pPr>
              <w:spacing w:after="0"/>
              <w:rPr>
                <w:sz w:val="23"/>
                <w:szCs w:val="23"/>
                <w:color w:val="auto"/>
              </w:rPr>
            </w:pPr>
          </w:p>
        </w:tc>
        <w:tc>
          <w:tcPr>
            <w:tcW w:w="6360" w:type="dxa"/>
            <w:vAlign w:val="bottom"/>
            <w:tcBorders>
              <w:bottom w:val="single" w:sz="8" w:color="auto"/>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RANKL antibodies including sequences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6/25/2022</w:t>
            </w:r>
          </w:p>
        </w:tc>
        <w:tc>
          <w:tcPr>
            <w:tcW w:w="0" w:type="dxa"/>
            <w:vAlign w:val="bottom"/>
          </w:tcPr>
          <w:p>
            <w:pPr>
              <w:spacing w:after="0"/>
              <w:rPr>
                <w:sz w:val="1"/>
                <w:szCs w:val="1"/>
                <w:color w:val="auto"/>
              </w:rPr>
            </w:pPr>
          </w:p>
        </w:tc>
      </w:tr>
      <w:tr>
        <w:trPr>
          <w:trHeight w:val="345"/>
        </w:trPr>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Cells that make certain levels of erythropoietin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5/26/2015</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3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Glycosylation analogs of erythropoietin proteins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5/15/2024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23"/>
                <w:szCs w:val="23"/>
                <w:color w:val="auto"/>
              </w:rPr>
            </w:pPr>
          </w:p>
        </w:tc>
        <w:tc>
          <w:tcPr>
            <w:tcW w:w="63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Glycosylation analogs of erythropoietin proteins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8/16/2014</w:t>
            </w:r>
          </w:p>
        </w:tc>
        <w:tc>
          <w:tcPr>
            <w:tcW w:w="0" w:type="dxa"/>
            <w:vAlign w:val="bottom"/>
          </w:tcPr>
          <w:p>
            <w:pPr>
              <w:spacing w:after="0"/>
              <w:rPr>
                <w:sz w:val="1"/>
                <w:szCs w:val="1"/>
                <w:color w:val="auto"/>
              </w:rPr>
            </w:pPr>
          </w:p>
        </w:tc>
      </w:tr>
      <w:tr>
        <w:trPr>
          <w:trHeight w:val="237"/>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Calcium receptor-active molecules including species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Methods of treatment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12/14/2016</w:t>
            </w:r>
          </w:p>
        </w:tc>
        <w:tc>
          <w:tcPr>
            <w:tcW w:w="0" w:type="dxa"/>
            <w:vAlign w:val="bottom"/>
          </w:tcPr>
          <w:p>
            <w:pPr>
              <w:spacing w:after="0"/>
              <w:rPr>
                <w:sz w:val="1"/>
                <w:szCs w:val="1"/>
                <w:color w:val="auto"/>
              </w:rPr>
            </w:pPr>
          </w:p>
        </w:tc>
      </w:tr>
      <w:tr>
        <w:trPr>
          <w:trHeight w:val="243"/>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Calcium receptor-active molecules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23"/>
                <w:szCs w:val="23"/>
                <w:color w:val="auto"/>
              </w:rPr>
            </w:pPr>
          </w:p>
        </w:tc>
        <w:tc>
          <w:tcPr>
            <w:tcW w:w="63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Calcium receptor-active molecules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10/23/2015</w:t>
            </w:r>
          </w:p>
        </w:tc>
        <w:tc>
          <w:tcPr>
            <w:tcW w:w="0" w:type="dxa"/>
            <w:vAlign w:val="bottom"/>
          </w:tcPr>
          <w:p>
            <w:pPr>
              <w:spacing w:after="0"/>
              <w:rPr>
                <w:sz w:val="1"/>
                <w:szCs w:val="1"/>
                <w:color w:val="auto"/>
              </w:rPr>
            </w:pPr>
          </w:p>
        </w:tc>
      </w:tr>
      <w:tr>
        <w:trPr>
          <w:trHeight w:val="237"/>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Human monoclonal antibodies to epidermal growth factor receptor (EGFr)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23"/>
                <w:szCs w:val="23"/>
                <w:color w:val="auto"/>
              </w:rPr>
            </w:pPr>
          </w:p>
        </w:tc>
        <w:tc>
          <w:tcPr>
            <w:tcW w:w="63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Human monoclonal antibodies to EGFr</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5/5/2018</w:t>
            </w:r>
          </w:p>
        </w:tc>
        <w:tc>
          <w:tcPr>
            <w:tcW w:w="0" w:type="dxa"/>
            <w:vAlign w:val="bottom"/>
          </w:tcPr>
          <w:p>
            <w:pPr>
              <w:spacing w:after="0"/>
              <w:rPr>
                <w:sz w:val="1"/>
                <w:szCs w:val="1"/>
                <w:color w:val="auto"/>
              </w:rPr>
            </w:pPr>
          </w:p>
        </w:tc>
      </w:tr>
      <w:tr>
        <w:trPr>
          <w:trHeight w:val="237"/>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Thrombopoietic compounds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23"/>
                <w:szCs w:val="23"/>
                <w:color w:val="auto"/>
              </w:rPr>
            </w:pPr>
          </w:p>
        </w:tc>
        <w:tc>
          <w:tcPr>
            <w:tcW w:w="63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Thrombopoietic compounds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10/22/2019</w:t>
            </w:r>
          </w:p>
        </w:tc>
        <w:tc>
          <w:tcPr>
            <w:tcW w:w="0" w:type="dxa"/>
            <w:vAlign w:val="bottom"/>
          </w:tcPr>
          <w:p>
            <w:pPr>
              <w:spacing w:after="0"/>
              <w:rPr>
                <w:sz w:val="1"/>
                <w:szCs w:val="1"/>
                <w:color w:val="auto"/>
              </w:rPr>
            </w:pPr>
          </w:p>
        </w:tc>
      </w:tr>
      <w:tr>
        <w:trPr>
          <w:trHeight w:val="264"/>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8"/>
                <w:szCs w:val="18"/>
                <w:color w:val="auto"/>
              </w:rPr>
              <w:t>Compositions, and methods of treatment</w:t>
            </w:r>
            <w:r>
              <w:rPr>
                <w:rFonts w:ascii="Times New Roman" w:cs="Times New Roman" w:eastAsia="Times New Roman" w:hAnsi="Times New Roman"/>
                <w:sz w:val="25"/>
                <w:szCs w:val="25"/>
                <w:color w:val="auto"/>
                <w:vertAlign w:val="superscript"/>
              </w:rPr>
              <w:t>(4)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4/14/2025</w:t>
            </w:r>
          </w:p>
        </w:tc>
        <w:tc>
          <w:tcPr>
            <w:tcW w:w="0" w:type="dxa"/>
            <w:vAlign w:val="bottom"/>
          </w:tcPr>
          <w:p>
            <w:pPr>
              <w:spacing w:after="0"/>
              <w:rPr>
                <w:sz w:val="1"/>
                <w:szCs w:val="1"/>
                <w:color w:val="auto"/>
              </w:rPr>
            </w:pPr>
          </w:p>
        </w:tc>
      </w:tr>
      <w:tr>
        <w:trPr>
          <w:trHeight w:val="27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Compositions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0" w:type="dxa"/>
            <w:vAlign w:val="bottom"/>
          </w:tcPr>
          <w:p>
            <w:pPr>
              <w:spacing w:after="0"/>
              <w:rPr>
                <w:sz w:val="1"/>
                <w:szCs w:val="1"/>
                <w:color w:val="auto"/>
              </w:rPr>
            </w:pPr>
          </w:p>
        </w:tc>
      </w:tr>
      <w:tr>
        <w:trPr>
          <w:trHeight w:val="264"/>
        </w:trPr>
        <w:tc>
          <w:tcPr>
            <w:tcW w:w="1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22"/>
                <w:szCs w:val="22"/>
                <w:color w:val="auto"/>
              </w:rPr>
            </w:pPr>
          </w:p>
        </w:tc>
        <w:tc>
          <w:tcPr>
            <w:tcW w:w="6360" w:type="dxa"/>
            <w:vAlign w:val="bottom"/>
            <w:tcBorders>
              <w:top w:val="single" w:sz="8" w:color="auto"/>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Bifunctional polypeptides</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22"/>
                <w:szCs w:val="22"/>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4/21/2019</w:t>
            </w:r>
          </w:p>
        </w:tc>
        <w:tc>
          <w:tcPr>
            <w:tcW w:w="0" w:type="dxa"/>
            <w:vAlign w:val="bottom"/>
          </w:tcPr>
          <w:p>
            <w:pPr>
              <w:spacing w:after="0"/>
              <w:rPr>
                <w:sz w:val="1"/>
                <w:szCs w:val="1"/>
                <w:color w:val="auto"/>
              </w:rPr>
            </w:pPr>
          </w:p>
        </w:tc>
      </w:tr>
      <w:tr>
        <w:trPr>
          <w:trHeight w:val="25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Method of administration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9/28/2027</w:t>
            </w:r>
          </w:p>
        </w:tc>
        <w:tc>
          <w:tcPr>
            <w:tcW w:w="0" w:type="dxa"/>
            <w:vAlign w:val="bottom"/>
          </w:tcPr>
          <w:p>
            <w:pPr>
              <w:spacing w:after="0"/>
              <w:rPr>
                <w:sz w:val="1"/>
                <w:szCs w:val="1"/>
                <w:color w:val="auto"/>
              </w:rPr>
            </w:pPr>
          </w:p>
        </w:tc>
      </w:tr>
      <w:tr>
        <w:trPr>
          <w:trHeight w:val="243"/>
        </w:trPr>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Bifunctional polypeptides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4/21/2019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Method of administration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11/29/2026</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2240" w:space="140"/>
            <w:col w:w="9040"/>
          </w:cols>
          <w:pgMar w:left="240" w:top="576" w:right="239" w:bottom="1440" w:gutter="0" w:footer="0" w:header="0"/>
          <w:type w:val="continuous"/>
        </w:sectPr>
      </w:pPr>
    </w:p>
    <w:p>
      <w:pPr>
        <w:jc w:val="both"/>
        <w:ind w:left="500" w:hanging="330"/>
        <w:spacing w:after="0" w:line="228" w:lineRule="auto"/>
        <w:tabs>
          <w:tab w:leader="none" w:pos="5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spacing w:after="0" w:line="35" w:lineRule="exact"/>
        <w:rPr>
          <w:rFonts w:ascii="Times New Roman" w:cs="Times New Roman" w:eastAsia="Times New Roman" w:hAnsi="Times New Roman"/>
          <w:sz w:val="25"/>
          <w:szCs w:val="25"/>
          <w:color w:val="auto"/>
          <w:vertAlign w:val="superscript"/>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pegfilgrastim - France, Germany, Italy, Spain, and the United Kingdom, expiring in 2017</w:t>
      </w:r>
    </w:p>
    <w:p>
      <w:pPr>
        <w:spacing w:after="0" w:line="63"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darbepoetin alfa - France, Germany, Italy, Spain, and the United Kingdom, expiring in 2016</w:t>
      </w:r>
    </w:p>
    <w:p>
      <w:pPr>
        <w:spacing w:after="0" w:line="63"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202"/>
        </w:rPr>
        <w:t>denosumab - France, Italy and Spain</w:t>
      </w:r>
      <w:r>
        <w:rPr>
          <w:rFonts w:ascii="Times New Roman" w:cs="Times New Roman" w:eastAsia="Times New Roman" w:hAnsi="Times New Roman"/>
          <w:sz w:val="18"/>
          <w:szCs w:val="18"/>
          <w:color w:val="000000"/>
        </w:rPr>
        <w:t>, expiring in</w:t>
      </w:r>
      <w:r>
        <w:rPr>
          <w:rFonts w:ascii="Times New Roman" w:cs="Times New Roman" w:eastAsia="Times New Roman" w:hAnsi="Times New Roman"/>
          <w:sz w:val="18"/>
          <w:szCs w:val="18"/>
          <w:color w:val="010202"/>
        </w:rPr>
        <w:t xml:space="preserve"> 2025</w:t>
      </w:r>
    </w:p>
    <w:p>
      <w:pPr>
        <w:spacing w:after="0" w:line="63"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cinacalcet - France, Germany, Italy, Spain, and the United Kingdom, expiring in 2019</w:t>
      </w:r>
    </w:p>
    <w:p>
      <w:pPr>
        <w:spacing w:after="0" w:line="63"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panitumumab - France, Germany, Italy, Spain, and the United Kingdom, expiring in 2022</w:t>
      </w:r>
    </w:p>
    <w:p>
      <w:pPr>
        <w:spacing w:after="0" w:line="63"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romiplostim - France, Italy, Spain, and the United Kingdom, expiring in 2024</w:t>
      </w:r>
    </w:p>
    <w:p>
      <w:pPr>
        <w:sectPr>
          <w:pgSz w:w="11900" w:h="16838" w:orient="portrait"/>
          <w:cols w:equalWidth="0" w:num="1">
            <w:col w:w="11420"/>
          </w:cols>
          <w:pgMar w:left="240" w:top="576"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both"/>
        <w:ind w:left="500" w:hanging="330"/>
        <w:spacing w:after="0" w:line="228" w:lineRule="auto"/>
        <w:tabs>
          <w:tab w:leader="none" w:pos="5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formulation patent relates to the currently approved liquid formulation of ENBREL, which formulation accounts for the majority of ENBREL sales in the United States. However, ENBREL is also sold as an alternative lyophilized formulation that requires reconstituting before it can be administered to the patient.</w:t>
      </w:r>
    </w:p>
    <w:p>
      <w:pPr>
        <w:spacing w:after="0" w:line="116" w:lineRule="exact"/>
        <w:rPr>
          <w:rFonts w:ascii="Times New Roman" w:cs="Times New Roman" w:eastAsia="Times New Roman" w:hAnsi="Times New Roman"/>
          <w:sz w:val="25"/>
          <w:szCs w:val="25"/>
          <w:color w:val="auto"/>
          <w:vertAlign w:val="superscript"/>
        </w:rPr>
      </w:pPr>
    </w:p>
    <w:p>
      <w:pPr>
        <w:ind w:left="500" w:hanging="330"/>
        <w:spacing w:after="0" w:line="218" w:lineRule="auto"/>
        <w:tabs>
          <w:tab w:leader="none" w:pos="5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U.S. Patent and Trademark Office has issued a Notice of Final Determination that a patent with this subject matter is eligible for patent term extension with an expiry of September 17, 2021.</w:t>
      </w:r>
    </w:p>
    <w:p>
      <w:pPr>
        <w:spacing w:after="0" w:line="64" w:lineRule="exact"/>
        <w:rPr>
          <w:rFonts w:ascii="Times New Roman" w:cs="Times New Roman" w:eastAsia="Times New Roman" w:hAnsi="Times New Roman"/>
          <w:sz w:val="25"/>
          <w:szCs w:val="25"/>
          <w:color w:val="auto"/>
          <w:vertAlign w:val="superscript"/>
        </w:rPr>
      </w:pPr>
    </w:p>
    <w:p>
      <w:pPr>
        <w:ind w:left="500" w:hanging="330"/>
        <w:spacing w:after="0"/>
        <w:tabs>
          <w:tab w:leader="none" w:pos="5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patent with this subject matter may be entitled to patent term extension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environment. Our products compete with other products or treatments for diseases for which our products may be indicated. Our competitors market products or are actively engaged in R&amp;D in areas where we have products, where we are developing product candidates or new indications for existing products. Our competitive positions may be based on, among other things, safety, efficacy, reliability, availability, patient convenience/delivery devices, price, reimbursement, timing of market entry and patent position and expiration.</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Certain of the existing patents on our principal products have recently expired or will expire this year or over the next few years, and we expect to face increasing competition thereafter, including from biosimilars. A biosimilar is another version of a biological product for which marketing approval is sought or has been obtained based on a demonstration that it is “biosimilar” to the original reference product. See Government Regulation. We may also compete against biosimilar or generic versions of our competitors’ products. In the EU, we continue to face competition from biosimilars. In the United States after patent expiration, we expect to face greater competition than today, including from manufacturers with biosimilars approved in Europe, which may seek to obtain U.S. approval.</w:t>
      </w:r>
    </w:p>
    <w:p>
      <w:pPr>
        <w:spacing w:after="0" w:line="107" w:lineRule="exact"/>
        <w:rPr>
          <w:sz w:val="20"/>
          <w:szCs w:val="20"/>
          <w:color w:val="auto"/>
        </w:rPr>
      </w:pPr>
    </w:p>
    <w:p>
      <w:pPr>
        <w:jc w:val="both"/>
        <w:ind w:firstLine="486"/>
        <w:spacing w:after="0" w:line="212" w:lineRule="auto"/>
        <w:rPr>
          <w:sz w:val="20"/>
          <w:szCs w:val="20"/>
          <w:color w:val="auto"/>
        </w:rPr>
      </w:pPr>
      <w:r>
        <w:rPr>
          <w:rFonts w:ascii="Times New Roman" w:cs="Times New Roman" w:eastAsia="Times New Roman" w:hAnsi="Times New Roman"/>
          <w:sz w:val="18"/>
          <w:szCs w:val="18"/>
          <w:color w:val="auto"/>
        </w:rPr>
        <w:t>Some of our products compete with each other. For example,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compete in the United States, primarily in the dialysis setting.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competes with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administered as a single dose per chemotherapy cycle while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requires more frequent dosing.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have been adversely impacted by conversion to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we believe is substantially complete.</w:t>
      </w:r>
    </w:p>
    <w:p>
      <w:pPr>
        <w:spacing w:after="0" w:line="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the development of new processes or technologies by competitors or the emergence of new information about existing products may result in increased competition for our marketed products, even for those protected by patents, or in a reduction of the price that we receive from selling our products. In addition, the development of new treatment options or standards of care may reduce the use of our products or may limit the utility and application of ongoing clinical trials for our product candidates. For further discussion, see Item 1A. Risk Factors—We expect to face increasing competition from biosimilars and Item 1A. Risk Factors—Our products face substantial competition.</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our significant competitors and is not exhaustive.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Competitor Marketed Product</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Competitors</w:t>
            </w:r>
          </w:p>
        </w:tc>
        <w:tc>
          <w:tcPr>
            <w:tcW w:w="0" w:type="dxa"/>
            <w:vAlign w:val="bottom"/>
          </w:tcPr>
          <w:p>
            <w:pPr>
              <w:spacing w:after="0"/>
              <w:rPr>
                <w:sz w:val="1"/>
                <w:szCs w:val="1"/>
                <w:color w:val="auto"/>
              </w:rPr>
            </w:pPr>
          </w:p>
        </w:tc>
      </w:tr>
      <w:tr>
        <w:trPr>
          <w:trHeight w:val="282"/>
        </w:trPr>
        <w:tc>
          <w:tcPr>
            <w:tcW w:w="1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320" w:type="dxa"/>
            <w:vAlign w:val="bottom"/>
            <w:shd w:val="clear" w:color="auto" w:fill="CCEEFF"/>
          </w:tcPr>
          <w:p>
            <w:pPr>
              <w:ind w:left="40"/>
              <w:spacing w:after="0" w:line="282" w:lineRule="exact"/>
              <w:rPr>
                <w:sz w:val="20"/>
                <w:szCs w:val="20"/>
                <w:color w:val="auto"/>
              </w:rPr>
            </w:pPr>
            <w:r>
              <w:rPr>
                <w:rFonts w:ascii="Times New Roman" w:cs="Times New Roman" w:eastAsia="Times New Roman" w:hAnsi="Times New Roman"/>
                <w:sz w:val="18"/>
                <w:szCs w:val="18"/>
                <w:color w:val="auto"/>
              </w:rPr>
              <w:t>Granix</w:t>
            </w:r>
            <w:r>
              <w:rPr>
                <w:rFonts w:ascii="Times New Roman" w:cs="Times New Roman" w:eastAsia="Times New Roman" w:hAnsi="Times New Roman"/>
                <w:sz w:val="25"/>
                <w:szCs w:val="25"/>
                <w:color w:val="auto"/>
                <w:vertAlign w:val="superscript"/>
              </w:rPr>
              <w:t>®(1)</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 (Teva)</w:t>
            </w:r>
          </w:p>
        </w:tc>
        <w:tc>
          <w:tcPr>
            <w:tcW w:w="0" w:type="dxa"/>
            <w:vAlign w:val="bottom"/>
          </w:tcPr>
          <w:p>
            <w:pPr>
              <w:spacing w:after="0"/>
              <w:rPr>
                <w:sz w:val="1"/>
                <w:szCs w:val="1"/>
                <w:color w:val="auto"/>
              </w:rPr>
            </w:pPr>
          </w:p>
        </w:tc>
      </w:tr>
      <w:tr>
        <w:trPr>
          <w:trHeight w:val="130"/>
        </w:trPr>
        <w:tc>
          <w:tcPr>
            <w:tcW w:w="138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vMerge w:val="restart"/>
          </w:tcPr>
          <w:p>
            <w:pPr>
              <w:ind w:left="40"/>
              <w:spacing w:after="0" w:line="283" w:lineRule="exact"/>
              <w:rPr>
                <w:sz w:val="20"/>
                <w:szCs w:val="20"/>
                <w:color w:val="auto"/>
              </w:rPr>
            </w:pPr>
            <w:r>
              <w:rPr>
                <w:rFonts w:ascii="Times New Roman" w:cs="Times New Roman" w:eastAsia="Times New Roman" w:hAnsi="Times New Roman"/>
                <w:sz w:val="18"/>
                <w:szCs w:val="18"/>
                <w:color w:val="auto"/>
              </w:rPr>
              <w:t>Lonquex</w:t>
            </w:r>
            <w:r>
              <w:rPr>
                <w:rFonts w:ascii="Times New Roman" w:cs="Times New Roman" w:eastAsia="Times New Roman" w:hAnsi="Times New Roman"/>
                <w:sz w:val="25"/>
                <w:szCs w:val="25"/>
                <w:color w:val="auto"/>
                <w:vertAlign w:val="superscript"/>
              </w:rPr>
              <w:t>®(2)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0" w:type="dxa"/>
            <w:vAlign w:val="bottom"/>
          </w:tcPr>
          <w:p>
            <w:pPr>
              <w:spacing w:after="0"/>
              <w:rPr>
                <w:sz w:val="1"/>
                <w:szCs w:val="1"/>
                <w:color w:val="auto"/>
              </w:rPr>
            </w:pPr>
          </w:p>
        </w:tc>
      </w:tr>
      <w:tr>
        <w:trPr>
          <w:trHeight w:val="153"/>
        </w:trPr>
        <w:tc>
          <w:tcPr>
            <w:tcW w:w="1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380" w:type="dxa"/>
            <w:vAlign w:val="bottom"/>
            <w:vMerge w:val="continue"/>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vMerge w:val="restart"/>
            <w:shd w:val="clear" w:color="auto" w:fill="CCEEFF"/>
          </w:tcPr>
          <w:p>
            <w:pPr>
              <w:spacing w:after="0"/>
              <w:rPr>
                <w:sz w:val="15"/>
                <w:szCs w:val="15"/>
                <w:color w:val="auto"/>
              </w:rPr>
            </w:pPr>
          </w:p>
        </w:tc>
        <w:tc>
          <w:tcPr>
            <w:tcW w:w="2320" w:type="dxa"/>
            <w:vAlign w:val="bottom"/>
            <w:vMerge w:val="restart"/>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Filgrastim biosimilars</w:t>
            </w:r>
            <w:r>
              <w:rPr>
                <w:rFonts w:ascii="Times New Roman" w:cs="Times New Roman" w:eastAsia="Times New Roman" w:hAnsi="Times New Roman"/>
                <w:sz w:val="25"/>
                <w:szCs w:val="25"/>
                <w:color w:val="auto"/>
                <w:vertAlign w:val="superscript"/>
              </w:rPr>
              <w:t>(3)</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104"/>
        </w:trPr>
        <w:tc>
          <w:tcPr>
            <w:tcW w:w="1380" w:type="dxa"/>
            <w:vAlign w:val="bottom"/>
            <w:tcBorders>
              <w:bottom w:val="single" w:sz="8" w:color="auto"/>
            </w:tcBorders>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2320" w:type="dxa"/>
            <w:vAlign w:val="bottom"/>
            <w:tcBorders>
              <w:bottom w:val="single" w:sz="8" w:color="auto"/>
            </w:tcBorders>
            <w:vMerge w:val="continue"/>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4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8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&amp; Canada</w:t>
            </w:r>
          </w:p>
        </w:tc>
        <w:tc>
          <w:tcPr>
            <w:tcW w:w="232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REMICADE</w:t>
            </w:r>
            <w:r>
              <w:rPr>
                <w:rFonts w:ascii="Times New Roman" w:cs="Times New Roman" w:eastAsia="Times New Roman" w:hAnsi="Times New Roman"/>
                <w:sz w:val="25"/>
                <w:szCs w:val="25"/>
                <w:color w:val="auto"/>
                <w:vertAlign w:val="superscript"/>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ind w:left="20"/>
              <w:spacing w:after="0" w:line="277" w:lineRule="exact"/>
              <w:rPr>
                <w:sz w:val="20"/>
                <w:szCs w:val="20"/>
                <w:color w:val="auto"/>
              </w:rPr>
            </w:pPr>
            <w:r>
              <w:rPr>
                <w:rFonts w:ascii="Times New Roman" w:cs="Times New Roman" w:eastAsia="Times New Roman" w:hAnsi="Times New Roman"/>
                <w:sz w:val="18"/>
                <w:szCs w:val="18"/>
                <w:color w:val="auto"/>
              </w:rPr>
              <w:t>Janssen Biotech, Inc. (Janssen)</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8"/>
                <w:szCs w:val="18"/>
                <w:color w:val="auto"/>
              </w:rPr>
              <w:t>/Merck &amp; Company, Inc.</w:t>
            </w:r>
          </w:p>
        </w:tc>
        <w:tc>
          <w:tcPr>
            <w:tcW w:w="0" w:type="dxa"/>
            <w:vAlign w:val="bottom"/>
          </w:tcPr>
          <w:p>
            <w:pPr>
              <w:spacing w:after="0"/>
              <w:rPr>
                <w:sz w:val="1"/>
                <w:szCs w:val="1"/>
                <w:color w:val="auto"/>
              </w:rPr>
            </w:pPr>
          </w:p>
        </w:tc>
      </w:tr>
      <w:tr>
        <w:trPr>
          <w:trHeight w:val="284"/>
        </w:trPr>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ENBREL</w:t>
            </w:r>
          </w:p>
        </w:tc>
        <w:tc>
          <w:tcPr>
            <w:tcW w:w="120" w:type="dxa"/>
            <w:vAlign w:val="bottom"/>
          </w:tcPr>
          <w:p>
            <w:pPr>
              <w:spacing w:after="0"/>
              <w:rPr>
                <w:sz w:val="24"/>
                <w:szCs w:val="24"/>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Canada</w:t>
            </w:r>
          </w:p>
        </w:tc>
        <w:tc>
          <w:tcPr>
            <w:tcW w:w="232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HUMIRA</w:t>
            </w:r>
            <w:r>
              <w:rPr>
                <w:rFonts w:ascii="Times New Roman" w:cs="Times New Roman" w:eastAsia="Times New Roman" w:hAnsi="Times New Roman"/>
                <w:sz w:val="25"/>
                <w:szCs w:val="25"/>
                <w:color w:val="auto"/>
                <w:vertAlign w:val="superscript"/>
              </w:rPr>
              <w:t>®</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284"/>
        </w:trPr>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&amp; Canada</w:t>
            </w:r>
          </w:p>
        </w:tc>
        <w:tc>
          <w:tcPr>
            <w:tcW w:w="120" w:type="dxa"/>
            <w:vAlign w:val="bottom"/>
            <w:tcBorders>
              <w:bottom w:val="single" w:sz="8" w:color="CCEEFF"/>
            </w:tcBorders>
          </w:tcPr>
          <w:p>
            <w:pPr>
              <w:spacing w:after="0"/>
              <w:rPr>
                <w:sz w:val="24"/>
                <w:szCs w:val="24"/>
                <w:color w:val="auto"/>
              </w:rPr>
            </w:pPr>
          </w:p>
        </w:tc>
        <w:tc>
          <w:tcPr>
            <w:tcW w:w="2320" w:type="dxa"/>
            <w:vAlign w:val="bottom"/>
            <w:tcBorders>
              <w:bottom w:val="single" w:sz="8" w:color="auto"/>
            </w:tcBorders>
          </w:tcPr>
          <w:p>
            <w:pPr>
              <w:ind w:left="40"/>
              <w:spacing w:after="0" w:line="283" w:lineRule="exact"/>
              <w:rPr>
                <w:sz w:val="20"/>
                <w:szCs w:val="20"/>
                <w:color w:val="auto"/>
              </w:rPr>
            </w:pPr>
            <w:r>
              <w:rPr>
                <w:rFonts w:ascii="Times New Roman" w:cs="Times New Roman" w:eastAsia="Times New Roman" w:hAnsi="Times New Roman"/>
                <w:sz w:val="18"/>
                <w:szCs w:val="18"/>
                <w:color w:val="auto"/>
              </w:rPr>
              <w:t>STELARA</w:t>
            </w:r>
            <w:r>
              <w:rPr>
                <w:rFonts w:ascii="Times New Roman" w:cs="Times New Roman" w:eastAsia="Times New Roman" w:hAnsi="Times New Roman"/>
                <w:sz w:val="25"/>
                <w:szCs w:val="25"/>
                <w:color w:val="auto"/>
                <w:vertAlign w:val="superscript"/>
              </w:rPr>
              <w:t>®(4)</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40" w:type="dxa"/>
            <w:vAlign w:val="bottom"/>
            <w:tcBorders>
              <w:bottom w:val="single" w:sz="8" w:color="auto"/>
            </w:tcBorders>
          </w:tcPr>
          <w:p>
            <w:pPr>
              <w:ind w:left="20"/>
              <w:spacing w:after="0" w:line="283" w:lineRule="exact"/>
              <w:rPr>
                <w:sz w:val="20"/>
                <w:szCs w:val="20"/>
                <w:color w:val="auto"/>
              </w:rPr>
            </w:pPr>
            <w:r>
              <w:rPr>
                <w:rFonts w:ascii="Times New Roman" w:cs="Times New Roman" w:eastAsia="Times New Roman" w:hAnsi="Times New Roman"/>
                <w:sz w:val="18"/>
                <w:szCs w:val="18"/>
                <w:color w:val="auto"/>
              </w:rPr>
              <w:t>Janssen</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277"/>
        </w:trPr>
        <w:tc>
          <w:tcPr>
            <w:tcW w:w="1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320" w:type="dxa"/>
            <w:vAlign w:val="bottom"/>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Zometa</w:t>
            </w:r>
            <w:r>
              <w:rPr>
                <w:rFonts w:ascii="Times New Roman" w:cs="Times New Roman" w:eastAsia="Times New Roman" w:hAnsi="Times New Roman"/>
                <w:sz w:val="25"/>
                <w:szCs w:val="25"/>
                <w:color w:val="auto"/>
                <w:vertAlign w:val="superscript"/>
              </w:rPr>
              <w:t>®</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 AG (Novartis)</w:t>
            </w:r>
          </w:p>
        </w:tc>
        <w:tc>
          <w:tcPr>
            <w:tcW w:w="0" w:type="dxa"/>
            <w:vAlign w:val="bottom"/>
          </w:tcPr>
          <w:p>
            <w:pPr>
              <w:spacing w:after="0"/>
              <w:rPr>
                <w:sz w:val="1"/>
                <w:szCs w:val="1"/>
                <w:color w:val="auto"/>
              </w:rPr>
            </w:pPr>
          </w:p>
        </w:tc>
      </w:tr>
      <w:tr>
        <w:trPr>
          <w:trHeight w:val="189"/>
        </w:trPr>
        <w:tc>
          <w:tcPr>
            <w:tcW w:w="138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Zoledronate generics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95"/>
        </w:trPr>
        <w:tc>
          <w:tcPr>
            <w:tcW w:w="1380" w:type="dxa"/>
            <w:vAlign w:val="bottom"/>
            <w:tcBorders>
              <w:bottom w:val="single" w:sz="8" w:color="CCEEFF"/>
            </w:tcBorders>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Alendronate generics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84"/>
        </w:trPr>
        <w:tc>
          <w:tcPr>
            <w:tcW w:w="138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Raloxifene generics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0"/>
        </w:trPr>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Zoledronate generics</w:t>
            </w: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277"/>
        </w:trPr>
        <w:tc>
          <w:tcPr>
            <w:tcW w:w="1380" w:type="dxa"/>
            <w:vAlign w:val="bottom"/>
            <w:tcBorders>
              <w:top w:val="single" w:sz="8" w:color="auto"/>
              <w:bottom w:val="single" w:sz="8" w:color="auto"/>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7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bottom w:val="single" w:sz="8" w:color="CCEEFF"/>
            </w:tcBorders>
          </w:tcPr>
          <w:p>
            <w:pPr>
              <w:spacing w:after="0"/>
              <w:rPr>
                <w:sz w:val="24"/>
                <w:szCs w:val="24"/>
                <w:color w:val="auto"/>
              </w:rPr>
            </w:pPr>
          </w:p>
        </w:tc>
        <w:tc>
          <w:tcPr>
            <w:tcW w:w="2320" w:type="dxa"/>
            <w:vAlign w:val="bottom"/>
            <w:tcBorders>
              <w:top w:val="single" w:sz="8" w:color="auto"/>
              <w:bottom w:val="single" w:sz="8" w:color="auto"/>
            </w:tcBorders>
          </w:tcPr>
          <w:p>
            <w:pPr>
              <w:ind w:left="40"/>
              <w:spacing w:after="0" w:line="277" w:lineRule="exact"/>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5"/>
                <w:szCs w:val="25"/>
                <w:color w:val="auto"/>
                <w:vertAlign w:val="superscript"/>
              </w:rPr>
              <w:t>®(5)</w:t>
            </w:r>
          </w:p>
        </w:tc>
        <w:tc>
          <w:tcPr>
            <w:tcW w:w="4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 Hoffmann-La Roche Ltd. (Roche)</w:t>
            </w:r>
          </w:p>
        </w:tc>
        <w:tc>
          <w:tcPr>
            <w:tcW w:w="0" w:type="dxa"/>
            <w:vAlign w:val="bottom"/>
          </w:tcPr>
          <w:p>
            <w:pPr>
              <w:spacing w:after="0"/>
              <w:rPr>
                <w:sz w:val="1"/>
                <w:szCs w:val="1"/>
                <w:color w:val="auto"/>
              </w:rPr>
            </w:pPr>
          </w:p>
        </w:tc>
      </w:tr>
      <w:tr>
        <w:trPr>
          <w:trHeight w:val="277"/>
        </w:trPr>
        <w:tc>
          <w:tcPr>
            <w:tcW w:w="138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320" w:type="dxa"/>
            <w:vAlign w:val="bottom"/>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PROCRIT</w:t>
            </w:r>
            <w:r>
              <w:rPr>
                <w:rFonts w:ascii="Times New Roman" w:cs="Times New Roman" w:eastAsia="Times New Roman" w:hAnsi="Times New Roman"/>
                <w:sz w:val="25"/>
                <w:szCs w:val="25"/>
                <w:color w:val="auto"/>
                <w:vertAlign w:val="superscript"/>
              </w:rPr>
              <w:t>®(6)</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40" w:type="dxa"/>
            <w:vAlign w:val="bottom"/>
            <w:shd w:val="clear" w:color="auto" w:fill="CCEEFF"/>
          </w:tcPr>
          <w:p>
            <w:pPr>
              <w:ind w:left="20"/>
              <w:spacing w:after="0" w:line="277" w:lineRule="exact"/>
              <w:rPr>
                <w:sz w:val="20"/>
                <w:szCs w:val="20"/>
                <w:color w:val="auto"/>
              </w:rPr>
            </w:pPr>
            <w:r>
              <w:rPr>
                <w:rFonts w:ascii="Times New Roman" w:cs="Times New Roman" w:eastAsia="Times New Roman" w:hAnsi="Times New Roman"/>
                <w:sz w:val="18"/>
                <w:szCs w:val="18"/>
                <w:color w:val="auto"/>
              </w:rPr>
              <w:t>Janssen</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284"/>
        </w:trPr>
        <w:tc>
          <w:tcPr>
            <w:tcW w:w="1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tcPr>
          <w:p>
            <w:pPr>
              <w:ind w:left="40"/>
              <w:spacing w:after="0" w:line="283" w:lineRule="exact"/>
              <w:rPr>
                <w:sz w:val="20"/>
                <w:szCs w:val="20"/>
                <w:color w:val="auto"/>
              </w:rPr>
            </w:pPr>
            <w:r>
              <w:rPr>
                <w:rFonts w:ascii="Times New Roman" w:cs="Times New Roman" w:eastAsia="Times New Roman" w:hAnsi="Times New Roman"/>
                <w:sz w:val="18"/>
                <w:szCs w:val="18"/>
                <w:color w:val="auto"/>
              </w:rPr>
              <w:t>EPREX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/ERYPO</w:t>
            </w:r>
            <w:r>
              <w:rPr>
                <w:rFonts w:ascii="Times New Roman" w:cs="Times New Roman" w:eastAsia="Times New Roman" w:hAnsi="Times New Roman"/>
                <w:sz w:val="25"/>
                <w:szCs w:val="25"/>
                <w:color w:val="auto"/>
                <w:vertAlign w:val="superscript"/>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ind w:left="20"/>
              <w:spacing w:after="0" w:line="283" w:lineRule="exact"/>
              <w:rPr>
                <w:sz w:val="20"/>
                <w:szCs w:val="20"/>
                <w:color w:val="auto"/>
              </w:rPr>
            </w:pPr>
            <w:r>
              <w:rPr>
                <w:rFonts w:ascii="Times New Roman" w:cs="Times New Roman" w:eastAsia="Times New Roman" w:hAnsi="Times New Roman"/>
                <w:sz w:val="18"/>
                <w:szCs w:val="18"/>
                <w:color w:val="auto"/>
              </w:rPr>
              <w:t>Janssen-Cilag</w:t>
            </w:r>
            <w:r>
              <w:rPr>
                <w:rFonts w:ascii="Times New Roman" w:cs="Times New Roman" w:eastAsia="Times New Roman" w:hAnsi="Times New Roman"/>
                <w:sz w:val="25"/>
                <w:szCs w:val="25"/>
                <w:color w:val="auto"/>
                <w:vertAlign w:val="superscript"/>
              </w:rPr>
              <w:t>(8)</w:t>
            </w:r>
          </w:p>
        </w:tc>
        <w:tc>
          <w:tcPr>
            <w:tcW w:w="0" w:type="dxa"/>
            <w:vAlign w:val="bottom"/>
          </w:tcPr>
          <w:p>
            <w:pPr>
              <w:spacing w:after="0"/>
              <w:rPr>
                <w:sz w:val="1"/>
                <w:szCs w:val="1"/>
                <w:color w:val="auto"/>
              </w:rPr>
            </w:pPr>
          </w:p>
        </w:tc>
      </w:tr>
      <w:tr>
        <w:trPr>
          <w:trHeight w:val="189"/>
        </w:trPr>
        <w:tc>
          <w:tcPr>
            <w:tcW w:w="138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vMerge w:val="restart"/>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Epoetin alfa biosimilars</w:t>
            </w:r>
            <w:r>
              <w:rPr>
                <w:rFonts w:ascii="Times New Roman" w:cs="Times New Roman" w:eastAsia="Times New Roman" w:hAnsi="Times New Roman"/>
                <w:sz w:val="25"/>
                <w:szCs w:val="25"/>
                <w:color w:val="auto"/>
                <w:vertAlign w:val="superscript"/>
              </w:rPr>
              <w:t>(3)</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95"/>
        </w:trPr>
        <w:tc>
          <w:tcPr>
            <w:tcW w:w="1380" w:type="dxa"/>
            <w:vAlign w:val="bottom"/>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2"/>
            <w:vMerge w:val="continue"/>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38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tcPr>
          <w:p>
            <w:pPr>
              <w:ind w:left="40"/>
              <w:spacing w:after="0" w:line="283" w:lineRule="exact"/>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5"/>
                <w:szCs w:val="25"/>
                <w:color w:val="auto"/>
                <w:vertAlign w:val="superscript"/>
              </w:rPr>
              <w:t>®(5)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0" w:type="dxa"/>
            <w:vAlign w:val="bottom"/>
          </w:tcPr>
          <w:p>
            <w:pPr>
              <w:spacing w:after="0"/>
              <w:rPr>
                <w:sz w:val="1"/>
                <w:szCs w:val="1"/>
                <w:color w:val="auto"/>
              </w:rPr>
            </w:pPr>
          </w:p>
        </w:tc>
      </w:tr>
      <w:tr>
        <w:trPr>
          <w:trHeight w:val="58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4"/>
                <w:szCs w:val="24"/>
                <w:color w:val="auto"/>
              </w:rPr>
            </w:pPr>
          </w:p>
        </w:tc>
        <w:tc>
          <w:tcPr>
            <w:tcW w:w="5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Competitor Marketed Product</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Competitors</w:t>
            </w:r>
          </w:p>
        </w:tc>
        <w:tc>
          <w:tcPr>
            <w:tcW w:w="0" w:type="dxa"/>
            <w:vAlign w:val="bottom"/>
          </w:tcPr>
          <w:p>
            <w:pPr>
              <w:spacing w:after="0"/>
              <w:rPr>
                <w:sz w:val="1"/>
                <w:szCs w:val="1"/>
                <w:color w:val="auto"/>
              </w:rPr>
            </w:pPr>
          </w:p>
        </w:tc>
      </w:tr>
      <w:tr>
        <w:trPr>
          <w:trHeight w:val="237"/>
        </w:trPr>
        <w:tc>
          <w:tcPr>
            <w:tcW w:w="1380" w:type="dxa"/>
            <w:vAlign w:val="bottom"/>
            <w:shd w:val="clear" w:color="auto" w:fill="CCEEFF"/>
          </w:tcPr>
          <w:p>
            <w:pPr>
              <w:ind w:left="40"/>
              <w:spacing w:after="0" w:line="236"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8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Active Vitamin D analogs</w:t>
            </w:r>
          </w:p>
        </w:tc>
        <w:tc>
          <w:tcPr>
            <w:tcW w:w="5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w:t>
            </w:r>
          </w:p>
        </w:tc>
        <w:tc>
          <w:tcPr>
            <w:tcW w:w="0" w:type="dxa"/>
            <w:vAlign w:val="bottom"/>
          </w:tcPr>
          <w:p>
            <w:pPr>
              <w:spacing w:after="0"/>
              <w:rPr>
                <w:sz w:val="1"/>
                <w:szCs w:val="1"/>
                <w:color w:val="auto"/>
              </w:rPr>
            </w:pPr>
          </w:p>
        </w:tc>
      </w:tr>
      <w:tr>
        <w:trPr>
          <w:trHeight w:val="113"/>
        </w:trPr>
        <w:tc>
          <w:tcPr>
            <w:tcW w:w="1380" w:type="dxa"/>
            <w:vAlign w:val="bottom"/>
            <w:vMerge w:val="restart"/>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9"/>
                <w:szCs w:val="9"/>
                <w:color w:val="auto"/>
              </w:rPr>
            </w:pPr>
          </w:p>
        </w:tc>
        <w:tc>
          <w:tcPr>
            <w:tcW w:w="1840" w:type="dxa"/>
            <w:vAlign w:val="bottom"/>
            <w:gridSpan w:val="2"/>
            <w:vMerge w:val="continue"/>
            <w:shd w:val="clear" w:color="auto" w:fill="CCEEFF"/>
          </w:tcPr>
          <w:p>
            <w:pPr>
              <w:spacing w:after="0"/>
              <w:rPr>
                <w:sz w:val="9"/>
                <w:szCs w:val="9"/>
                <w:color w:val="auto"/>
              </w:rPr>
            </w:pPr>
          </w:p>
        </w:tc>
        <w:tc>
          <w:tcPr>
            <w:tcW w:w="2840" w:type="dxa"/>
            <w:vAlign w:val="bottom"/>
            <w:gridSpan w:val="2"/>
            <w:vMerge w:val="continue"/>
            <w:shd w:val="clear" w:color="auto" w:fill="CCEEFF"/>
          </w:tcPr>
          <w:p>
            <w:pPr>
              <w:spacing w:after="0"/>
              <w:rPr>
                <w:sz w:val="9"/>
                <w:szCs w:val="9"/>
                <w:color w:val="auto"/>
              </w:rPr>
            </w:pPr>
          </w:p>
        </w:tc>
        <w:tc>
          <w:tcPr>
            <w:tcW w:w="52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2840" w:type="dxa"/>
            <w:vAlign w:val="bottom"/>
            <w:gridSpan w:val="2"/>
          </w:tcPr>
          <w:p>
            <w:pPr>
              <w:ind w:left="40"/>
              <w:spacing w:after="0" w:line="277" w:lineRule="exact"/>
              <w:rPr>
                <w:sz w:val="20"/>
                <w:szCs w:val="20"/>
                <w:color w:val="auto"/>
              </w:rPr>
            </w:pPr>
            <w:r>
              <w:rPr>
                <w:rFonts w:ascii="Times New Roman" w:cs="Times New Roman" w:eastAsia="Times New Roman" w:hAnsi="Times New Roman"/>
                <w:sz w:val="18"/>
                <w:szCs w:val="18"/>
                <w:color w:val="auto"/>
              </w:rPr>
              <w:t>Erbitux</w:t>
            </w:r>
            <w:r>
              <w:rPr>
                <w:rFonts w:ascii="Times New Roman" w:cs="Times New Roman" w:eastAsia="Times New Roman" w:hAnsi="Times New Roman"/>
                <w:sz w:val="25"/>
                <w:szCs w:val="25"/>
                <w:color w:val="auto"/>
                <w:vertAlign w:val="superscript"/>
              </w:rPr>
              <w:t>®</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 Lilly/Bristol-Myers Squibb Company (BMS); Merck KGaA</w:t>
            </w:r>
          </w:p>
        </w:tc>
        <w:tc>
          <w:tcPr>
            <w:tcW w:w="0" w:type="dxa"/>
            <w:vAlign w:val="bottom"/>
          </w:tcPr>
          <w:p>
            <w:pPr>
              <w:spacing w:after="0"/>
              <w:rPr>
                <w:sz w:val="1"/>
                <w:szCs w:val="1"/>
                <w:color w:val="auto"/>
              </w:rPr>
            </w:pPr>
          </w:p>
        </w:tc>
      </w:tr>
      <w:tr>
        <w:trPr>
          <w:trHeight w:val="189"/>
        </w:trPr>
        <w:tc>
          <w:tcPr>
            <w:tcW w:w="1380" w:type="dxa"/>
            <w:vAlign w:val="bottom"/>
            <w:vMerge w:val="continue"/>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120" w:type="dxa"/>
            <w:vAlign w:val="bottom"/>
            <w:vMerge w:val="restart"/>
            <w:shd w:val="clear" w:color="auto" w:fill="CCEEFF"/>
          </w:tcPr>
          <w:p>
            <w:pPr>
              <w:spacing w:after="0"/>
              <w:rPr>
                <w:sz w:val="16"/>
                <w:szCs w:val="16"/>
                <w:color w:val="auto"/>
              </w:rPr>
            </w:pPr>
          </w:p>
        </w:tc>
        <w:tc>
          <w:tcPr>
            <w:tcW w:w="2740" w:type="dxa"/>
            <w:vAlign w:val="bottom"/>
            <w:vMerge w:val="restart"/>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Avastin</w:t>
            </w:r>
            <w:r>
              <w:rPr>
                <w:rFonts w:ascii="Times New Roman" w:cs="Times New Roman" w:eastAsia="Times New Roman" w:hAnsi="Times New Roman"/>
                <w:sz w:val="25"/>
                <w:szCs w:val="25"/>
                <w:color w:val="auto"/>
                <w:vertAlign w:val="superscript"/>
              </w:rPr>
              <w:t>®</w:t>
            </w:r>
          </w:p>
        </w:tc>
        <w:tc>
          <w:tcPr>
            <w:tcW w:w="100" w:type="dxa"/>
            <w:vAlign w:val="bottom"/>
            <w:vMerge w:val="restart"/>
            <w:shd w:val="clear" w:color="auto" w:fill="CCEEFF"/>
          </w:tcPr>
          <w:p>
            <w:pPr>
              <w:spacing w:after="0"/>
              <w:rPr>
                <w:sz w:val="16"/>
                <w:szCs w:val="16"/>
                <w:color w:val="auto"/>
              </w:rPr>
            </w:pPr>
          </w:p>
        </w:tc>
        <w:tc>
          <w:tcPr>
            <w:tcW w:w="5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Genentech, Inc. (a Member of the Roche Group)</w:t>
            </w:r>
          </w:p>
        </w:tc>
        <w:tc>
          <w:tcPr>
            <w:tcW w:w="0" w:type="dxa"/>
            <w:vAlign w:val="bottom"/>
          </w:tcPr>
          <w:p>
            <w:pPr>
              <w:spacing w:after="0"/>
              <w:rPr>
                <w:sz w:val="1"/>
                <w:szCs w:val="1"/>
                <w:color w:val="auto"/>
              </w:rPr>
            </w:pPr>
          </w:p>
        </w:tc>
      </w:tr>
      <w:tr>
        <w:trPr>
          <w:trHeight w:val="95"/>
        </w:trPr>
        <w:tc>
          <w:tcPr>
            <w:tcW w:w="1380" w:type="dxa"/>
            <w:vAlign w:val="bottom"/>
            <w:tcBorders>
              <w:bottom w:val="single" w:sz="8" w:color="auto"/>
            </w:tcBorders>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2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24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&amp; Europe</w:t>
            </w:r>
          </w:p>
        </w:tc>
        <w:tc>
          <w:tcPr>
            <w:tcW w:w="120" w:type="dxa"/>
            <w:vAlign w:val="bottom"/>
            <w:tcBorders>
              <w:bottom w:val="single" w:sz="8" w:color="CCEEFF"/>
            </w:tcBorders>
          </w:tcPr>
          <w:p>
            <w:pPr>
              <w:spacing w:after="0"/>
              <w:rPr>
                <w:sz w:val="24"/>
                <w:szCs w:val="24"/>
                <w:color w:val="auto"/>
              </w:rPr>
            </w:pPr>
          </w:p>
        </w:tc>
        <w:tc>
          <w:tcPr>
            <w:tcW w:w="2740" w:type="dxa"/>
            <w:vAlign w:val="bottom"/>
            <w:tcBorders>
              <w:bottom w:val="single" w:sz="8" w:color="auto"/>
            </w:tcBorders>
          </w:tcPr>
          <w:p>
            <w:pPr>
              <w:ind w:left="40"/>
              <w:spacing w:after="0" w:line="277" w:lineRule="exact"/>
              <w:rPr>
                <w:sz w:val="20"/>
                <w:szCs w:val="20"/>
                <w:color w:val="auto"/>
              </w:rPr>
            </w:pPr>
            <w:r>
              <w:rPr>
                <w:rFonts w:ascii="Times New Roman" w:cs="Times New Roman" w:eastAsia="Times New Roman" w:hAnsi="Times New Roman"/>
                <w:sz w:val="18"/>
                <w:szCs w:val="18"/>
                <w:color w:val="auto"/>
              </w:rPr>
              <w:t>Promacta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/Revolade</w:t>
            </w:r>
            <w:r>
              <w:rPr>
                <w:rFonts w:ascii="Times New Roman" w:cs="Times New Roman" w:eastAsia="Times New Roman" w:hAnsi="Times New Roman"/>
                <w:sz w:val="25"/>
                <w:szCs w:val="25"/>
                <w:color w:val="auto"/>
                <w:vertAlign w:val="superscript"/>
              </w:rPr>
              <w:t>®</w:t>
            </w:r>
          </w:p>
        </w:tc>
        <w:tc>
          <w:tcPr>
            <w:tcW w:w="100" w:type="dxa"/>
            <w:vAlign w:val="bottom"/>
            <w:tcBorders>
              <w:bottom w:val="single" w:sz="8" w:color="CCEEFF"/>
            </w:tcBorders>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GlaxoSmithKline plc</w:t>
            </w:r>
          </w:p>
        </w:tc>
        <w:tc>
          <w:tcPr>
            <w:tcW w:w="0" w:type="dxa"/>
            <w:vAlign w:val="bottom"/>
          </w:tcPr>
          <w:p>
            <w:pPr>
              <w:spacing w:after="0"/>
              <w:rPr>
                <w:sz w:val="1"/>
                <w:szCs w:val="1"/>
                <w:color w:val="auto"/>
              </w:rPr>
            </w:pPr>
          </w:p>
        </w:tc>
      </w:tr>
      <w:tr>
        <w:trPr>
          <w:trHeight w:val="277"/>
        </w:trPr>
        <w:tc>
          <w:tcPr>
            <w:tcW w:w="138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840" w:type="dxa"/>
            <w:vAlign w:val="bottom"/>
            <w:gridSpan w:val="2"/>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VELCADE</w:t>
            </w:r>
            <w:r>
              <w:rPr>
                <w:rFonts w:ascii="Times New Roman" w:cs="Times New Roman" w:eastAsia="Times New Roman" w:hAnsi="Times New Roman"/>
                <w:sz w:val="25"/>
                <w:szCs w:val="25"/>
                <w:color w:val="auto"/>
                <w:vertAlign w:val="superscript"/>
              </w:rPr>
              <w:t>®</w:t>
            </w:r>
          </w:p>
        </w:tc>
        <w:tc>
          <w:tcPr>
            <w:tcW w:w="5240" w:type="dxa"/>
            <w:vAlign w:val="bottom"/>
            <w:shd w:val="clear" w:color="auto" w:fill="CCEEFF"/>
          </w:tcPr>
          <w:p>
            <w:pPr>
              <w:ind w:left="20"/>
              <w:spacing w:after="0" w:line="277" w:lineRule="exact"/>
              <w:rPr>
                <w:sz w:val="20"/>
                <w:szCs w:val="20"/>
                <w:color w:val="auto"/>
              </w:rPr>
            </w:pPr>
            <w:r>
              <w:rPr>
                <w:rFonts w:ascii="Times New Roman" w:cs="Times New Roman" w:eastAsia="Times New Roman" w:hAnsi="Times New Roman"/>
                <w:sz w:val="18"/>
                <w:szCs w:val="18"/>
                <w:color w:val="auto"/>
              </w:rPr>
              <w:t>Millennium Pharmaceuticals, Inc.</w:t>
            </w:r>
            <w:r>
              <w:rPr>
                <w:rFonts w:ascii="Times New Roman" w:cs="Times New Roman" w:eastAsia="Times New Roman" w:hAnsi="Times New Roman"/>
                <w:sz w:val="25"/>
                <w:szCs w:val="25"/>
                <w:color w:val="auto"/>
                <w:vertAlign w:val="superscript"/>
              </w:rPr>
              <w:t>(9)</w:t>
            </w:r>
          </w:p>
        </w:tc>
        <w:tc>
          <w:tcPr>
            <w:tcW w:w="0" w:type="dxa"/>
            <w:vAlign w:val="bottom"/>
          </w:tcPr>
          <w:p>
            <w:pPr>
              <w:spacing w:after="0"/>
              <w:rPr>
                <w:sz w:val="1"/>
                <w:szCs w:val="1"/>
                <w:color w:val="auto"/>
              </w:rPr>
            </w:pPr>
          </w:p>
        </w:tc>
      </w:tr>
      <w:tr>
        <w:trPr>
          <w:trHeight w:val="284"/>
        </w:trPr>
        <w:tc>
          <w:tcPr>
            <w:tcW w:w="138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284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8"/>
                <w:szCs w:val="18"/>
                <w:color w:val="auto"/>
              </w:rPr>
              <w:t>REVLIMID</w:t>
            </w:r>
            <w:r>
              <w:rPr>
                <w:rFonts w:ascii="Times New Roman" w:cs="Times New Roman" w:eastAsia="Times New Roman" w:hAnsi="Times New Roman"/>
                <w:sz w:val="25"/>
                <w:szCs w:val="25"/>
                <w:color w:val="auto"/>
                <w:vertAlign w:val="superscript"/>
              </w:rPr>
              <w:t>®</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Celgene Corporation</w:t>
            </w:r>
          </w:p>
        </w:tc>
        <w:tc>
          <w:tcPr>
            <w:tcW w:w="0" w:type="dxa"/>
            <w:vAlign w:val="bottom"/>
          </w:tcPr>
          <w:p>
            <w:pPr>
              <w:spacing w:after="0"/>
              <w:rPr>
                <w:sz w:val="1"/>
                <w:szCs w:val="1"/>
                <w:color w:val="auto"/>
              </w:rPr>
            </w:pPr>
          </w:p>
        </w:tc>
      </w:tr>
      <w:tr>
        <w:trPr>
          <w:trHeight w:val="284"/>
        </w:trPr>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24"/>
                <w:szCs w:val="24"/>
                <w:color w:val="auto"/>
              </w:rPr>
            </w:pPr>
          </w:p>
        </w:tc>
        <w:tc>
          <w:tcPr>
            <w:tcW w:w="2740" w:type="dxa"/>
            <w:vAlign w:val="bottom"/>
            <w:tcBorders>
              <w:bottom w:val="single" w:sz="8" w:color="auto"/>
            </w:tcBorders>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POMALYST</w:t>
            </w:r>
            <w:r>
              <w:rPr>
                <w:rFonts w:ascii="Times New Roman" w:cs="Times New Roman" w:eastAsia="Times New Roman" w:hAnsi="Times New Roman"/>
                <w:sz w:val="25"/>
                <w:szCs w:val="25"/>
                <w:color w:val="auto"/>
                <w:vertAlign w:val="superscript"/>
              </w:rPr>
              <w:t>®</w:t>
            </w:r>
          </w:p>
        </w:tc>
        <w:tc>
          <w:tcPr>
            <w:tcW w:w="100" w:type="dxa"/>
            <w:vAlign w:val="bottom"/>
            <w:shd w:val="clear" w:color="auto" w:fill="CCEEFF"/>
          </w:tcPr>
          <w:p>
            <w:pPr>
              <w:spacing w:after="0"/>
              <w:rPr>
                <w:sz w:val="24"/>
                <w:szCs w:val="24"/>
                <w:color w:val="auto"/>
              </w:rPr>
            </w:pP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Celgene Corporation</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hanging="330"/>
        <w:spacing w:after="0"/>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Granix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launched at the end of 2013 and could have an impact over time on sales of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 a lesser extent,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25"/>
          <w:szCs w:val="25"/>
          <w:color w:val="auto"/>
          <w:vertAlign w:val="superscript"/>
        </w:rPr>
      </w:pPr>
    </w:p>
    <w:p>
      <w:pPr>
        <w:ind w:left="500" w:hanging="330"/>
        <w:spacing w:after="0"/>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Lonquex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long-acting filgrastim product launched in Europe.</w:t>
      </w:r>
    </w:p>
    <w:p>
      <w:pPr>
        <w:spacing w:after="0" w:line="45" w:lineRule="exact"/>
        <w:rPr>
          <w:rFonts w:ascii="Times New Roman" w:cs="Times New Roman" w:eastAsia="Times New Roman" w:hAnsi="Times New Roman"/>
          <w:sz w:val="25"/>
          <w:szCs w:val="25"/>
          <w:color w:val="auto"/>
          <w:vertAlign w:val="superscript"/>
        </w:rPr>
      </w:pPr>
    </w:p>
    <w:p>
      <w:pPr>
        <w:ind w:left="500" w:hanging="330"/>
        <w:spacing w:after="0" w:line="211" w:lineRule="auto"/>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Approved via the EU biosimilar regulatory pathway.</w:t>
      </w:r>
    </w:p>
    <w:p>
      <w:pPr>
        <w:spacing w:after="0" w:line="98" w:lineRule="exact"/>
        <w:rPr>
          <w:rFonts w:ascii="Times New Roman" w:cs="Times New Roman" w:eastAsia="Times New Roman" w:hAnsi="Times New Roman"/>
          <w:sz w:val="25"/>
          <w:szCs w:val="25"/>
          <w:color w:val="auto"/>
          <w:vertAlign w:val="superscript"/>
        </w:rPr>
      </w:pPr>
    </w:p>
    <w:p>
      <w:pPr>
        <w:ind w:left="500" w:hanging="330"/>
        <w:spacing w:after="0" w:line="211" w:lineRule="auto"/>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Dermatology only.</w:t>
      </w:r>
    </w:p>
    <w:p>
      <w:pPr>
        <w:spacing w:after="0" w:line="116" w:lineRule="exact"/>
        <w:rPr>
          <w:rFonts w:ascii="Times New Roman" w:cs="Times New Roman" w:eastAsia="Times New Roman" w:hAnsi="Times New Roman"/>
          <w:sz w:val="25"/>
          <w:szCs w:val="25"/>
          <w:color w:val="auto"/>
          <w:vertAlign w:val="superscript"/>
        </w:rPr>
      </w:pPr>
    </w:p>
    <w:p>
      <w:pPr>
        <w:jc w:val="both"/>
        <w:ind w:left="500" w:hanging="330"/>
        <w:spacing w:after="0" w:line="212" w:lineRule="auto"/>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been approved by the FDA for the treatment of anemia associated with chronic renal failure in patients on and not on dialysis. Roche began selling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October 2014 in the United States under terms of a limited patent license obtained from Amgen in connection with the settlement of patent litigation. It competes with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nephrology segment only.</w:t>
      </w:r>
    </w:p>
    <w:p>
      <w:pPr>
        <w:spacing w:after="0" w:line="21" w:lineRule="exact"/>
        <w:rPr>
          <w:rFonts w:ascii="Times New Roman" w:cs="Times New Roman" w:eastAsia="Times New Roman" w:hAnsi="Times New Roman"/>
          <w:sz w:val="25"/>
          <w:szCs w:val="25"/>
          <w:color w:val="auto"/>
          <w:vertAlign w:val="superscript"/>
        </w:rPr>
      </w:pPr>
    </w:p>
    <w:p>
      <w:pPr>
        <w:ind w:left="500" w:hanging="330"/>
        <w:spacing w:after="0"/>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PROCRIT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competes with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supportive cancer care and pre-dialysis settings.</w:t>
      </w:r>
    </w:p>
    <w:p>
      <w:pPr>
        <w:spacing w:after="0" w:line="63" w:lineRule="exact"/>
        <w:rPr>
          <w:rFonts w:ascii="Times New Roman" w:cs="Times New Roman" w:eastAsia="Times New Roman" w:hAnsi="Times New Roman"/>
          <w:sz w:val="25"/>
          <w:szCs w:val="25"/>
          <w:color w:val="auto"/>
          <w:vertAlign w:val="superscript"/>
        </w:rPr>
      </w:pPr>
    </w:p>
    <w:p>
      <w:pPr>
        <w:ind w:left="500" w:hanging="330"/>
        <w:spacing w:after="0" w:line="218" w:lineRule="auto"/>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Teva and Barr Pharmaceuticals have received tentative approval from the FDA for generic versions of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that could compete with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future. There is an injunction prohibiting them from commercializing in the United States until expiration of the patents.</w:t>
      </w:r>
    </w:p>
    <w:p>
      <w:pPr>
        <w:spacing w:after="0" w:line="64" w:lineRule="exact"/>
        <w:rPr>
          <w:rFonts w:ascii="Times New Roman" w:cs="Times New Roman" w:eastAsia="Times New Roman" w:hAnsi="Times New Roman"/>
          <w:sz w:val="25"/>
          <w:szCs w:val="25"/>
          <w:color w:val="auto"/>
          <w:vertAlign w:val="superscript"/>
        </w:rPr>
      </w:pPr>
    </w:p>
    <w:p>
      <w:pPr>
        <w:ind w:left="500" w:hanging="330"/>
        <w:spacing w:after="0"/>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subsidiary of Johnson &amp; Johnson (J&amp;J).</w:t>
      </w:r>
    </w:p>
    <w:p>
      <w:pPr>
        <w:spacing w:after="0" w:line="98" w:lineRule="exact"/>
        <w:rPr>
          <w:rFonts w:ascii="Times New Roman" w:cs="Times New Roman" w:eastAsia="Times New Roman" w:hAnsi="Times New Roman"/>
          <w:sz w:val="25"/>
          <w:szCs w:val="25"/>
          <w:color w:val="auto"/>
          <w:vertAlign w:val="superscript"/>
        </w:rPr>
      </w:pPr>
    </w:p>
    <w:p>
      <w:pPr>
        <w:ind w:left="500" w:hanging="330"/>
        <w:spacing w:after="0" w:line="211" w:lineRule="auto"/>
        <w:tabs>
          <w:tab w:leader="none" w:pos="50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wholly-owned subsidiary of Takeda Pharmaceutical Company Limited.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Biosimilar Competition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/NEUPOGEN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jc w:val="both"/>
        <w:ind w:firstLine="486"/>
        <w:spacing w:after="0" w:line="217" w:lineRule="auto"/>
        <w:rPr>
          <w:sz w:val="20"/>
          <w:szCs w:val="20"/>
          <w:color w:val="auto"/>
        </w:rPr>
      </w:pPr>
      <w:r>
        <w:rPr>
          <w:rFonts w:ascii="Times New Roman" w:cs="Times New Roman" w:eastAsia="Times New Roman" w:hAnsi="Times New Roman"/>
          <w:sz w:val="18"/>
          <w:szCs w:val="18"/>
          <w:color w:val="auto"/>
        </w:rPr>
        <w:t>Apotex, Inc. announced that the FDA accepted for filing their applications, under the abbreviated pathway, for pegfilgrastim, a biosimilar version of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on December 17, 2014, and for filgrastim, a biosimilar version of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on February 17, 2015. On January 7, 2015, Sandoz, a Novartis company, announced that the FDA Oncologic Drugs Advisory Committee (ODAC) recommended approval of its investigational biosimilar filgrastim, to be known in the United States as ZARXIO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Committee also recommended approval of the biosimilar for use in all indications included in the reference product’s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label. If approved, we anticipate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begin to face competition from the launch of ZARXIO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The Sandoz biosimilar filgrastim is the subject of ongoing litigation between us and Sandoz. See Part IV—Note 18, Contingencies and commitments, to the Consolidated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On December 16, 2014, Hospira, Inc. submitted a BLA to the FDA for Retacrit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 proposed biosimilar to EPOGEN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under the abbreviated pathway.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of our principal products are dependent on the availability and extent of coverage and reimbursement from third-party payers. In the United States, healthcare providers are reimbursed for covered services and products they use through Medicare, Medicaid and other government healthcare programs as well as through private payers. We are required to provide specified rebates or discounts to certain of these government funded programs. For many years, federal and state governments in the United States have pursued methods to reduce the cost of these programs. For example, in 2010 the United States enacted major healthcare reform legislation (known as the “Patient Protection and Affordable Care Act” or “ACA”) that had significant impacts which include: a requirement to offer discounts for Medicare Part D drugs in the coverage gap, an increase in the rebates we pay for our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04" w:right="2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products that are covered and reimbursed by state Medicaid programs, a requirement to pay rebates on Medicaid managed care utilization, the expansion of entities eligible for discounts under the 340B Drug Pricing Program, and a new fee (the U.S. healthcare reform federal excise fee on Branded Prescription Pharmaceutical Manufacturers and Importers (BPD fee)). Such changes have had, and are expected to continue to have, a material adverse impact on our business. At present, Medicare payment rates are affected by across-the-board federal budget cuts commonly referred to as “sequestration”. Under sequestration, the Centers for Medicare &amp; Medicaid Services (CMS), the federal agency responsible for administering Medicare and Medicaid, reduced Medicare payments to providers by 2% beginning in 2013. In addition, in the effort to contain the U.S. federal deficit, our industry could be considered a potential source of savings via legislative proposals that have been debated but not enacted. It remains uncertain as to what proposals, if any, may be included as part of future federal budget deficit reduction actions that would directly or indirectly affect us and our business.</w:t>
      </w:r>
    </w:p>
    <w:p>
      <w:pPr>
        <w:spacing w:after="0" w:line="104" w:lineRule="exact"/>
        <w:rPr>
          <w:sz w:val="20"/>
          <w:szCs w:val="20"/>
          <w:color w:val="auto"/>
        </w:rPr>
      </w:pPr>
    </w:p>
    <w:p>
      <w:pPr>
        <w:jc w:val="both"/>
        <w:ind w:firstLine="486"/>
        <w:spacing w:after="0" w:line="220" w:lineRule="auto"/>
        <w:rPr>
          <w:sz w:val="20"/>
          <w:szCs w:val="20"/>
          <w:color w:val="auto"/>
        </w:rPr>
      </w:pPr>
      <w:r>
        <w:rPr>
          <w:rFonts w:ascii="Times New Roman" w:cs="Times New Roman" w:eastAsia="Times New Roman" w:hAnsi="Times New Roman"/>
          <w:sz w:val="18"/>
          <w:szCs w:val="18"/>
          <w:color w:val="auto"/>
        </w:rPr>
        <w:t>Particular legislative and regulatory developments that would have a significant impact on Amgen include: changes to how the Medicare program covers and reimburses current and future drugs for patients with End-Stage Renal Disease (ESRD) (including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changes in the payment rate or new rebate requirements for covered drugs (which could impact many of our principal products, including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policies for payment and coverage of biosimilars.</w:t>
      </w:r>
    </w:p>
    <w:p>
      <w:pPr>
        <w:spacing w:after="0" w:line="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Efforts are also being made in the private sector to reduce healthcare costs, notably by healthcare payers and providers, which have instituted various cost reduction and containment measures. We expect insurers and providers to continue efforts to reduce the cost and/or utilization of healthcare products, including our products. These measures include consolidation of insurers in the United States and the emergence of large integrated (insurer-provider) delivery networks to consolidate purchasing and negotiating power.</w:t>
      </w:r>
    </w:p>
    <w:p>
      <w:pPr>
        <w:spacing w:after="0" w:line="9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Generally, in countries outside the United States, government-sponsored healthcare systems are the primary payers for drugs and biologics. With increased budgetary constraints, payers in many countries employ a variety of measures to exert downward price pressure. These measures can include mandatory price controls, price referencing, therapeutic reference pricing, increasing mandates or incentives for generic substitution and biosimilar usage, and government-mandated price cuts. In addition, healthcare reform and related legislative proposals in such countries as France, Germany and Poland, as well as austerity plans in a number of countries, including Spain, Greece, Italy, Ireland and Portugal, have targeted the pharmaceutical sector with multiple mechanisms to reduce government healthcare expenditures. We expect that countries will continue to take aggressive actions to reduce expenditures on drugs and biologics. Similarly, fiscal constraints may also impact the extent to which countries are willing to approve new innovative therapies and/or allow access to new technologies. For example, many Health Technology Assessment (HTA) organizations use formal economic metrics such as cost-effectiveness to determine coverage and reimbursement of new therapies, and these organizations are proliferating in established and emerging markets.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1A. Risk Factors—Our sales depend on coverage and reimbursement from third-party payers.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Distribution and Raw Materials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products we manufacture include both biologics and small molecule drugs. The majority of our products are biologics which are produced in living cells and are inherently complex due to naturally-occurring molecular variations. Highly specialized knowledge and extensive process and product characterization are required to transform laboratory-scale processes into reproducible commercial manufacturing processes. For additional information regarding manufacturing facilities, see Item 2. Properties.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perform most of our bulk manufacturing, formulation, fill and finish activities in our Puerto Rico facility and also conduct finish activities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We also utilize third-party contract manufacturers:</w:t>
      </w:r>
    </w:p>
    <w:p>
      <w:pPr>
        <w:spacing w:after="0" w:line="126" w:lineRule="exact"/>
        <w:rPr>
          <w:sz w:val="20"/>
          <w:szCs w:val="20"/>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manufacture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except for certain fill and finish activities performed by us in Puerto Rico;</w:t>
      </w:r>
    </w:p>
    <w:p>
      <w:pPr>
        <w:spacing w:after="0" w:line="6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commercial bulk manufacturing, as needed, for ENBREL,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certain portions of fill and finish for ENBREL; and</w:t>
      </w:r>
    </w:p>
    <w:p>
      <w:pPr>
        <w:spacing w:after="0" w:line="14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formulation, fill and finish of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utilize single-source third-party contract manufacturers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Clinical bulk, formulation, fill and finish manufacturing facilities are operated primarily in our Thousand Oaks, California, and West Greenwich, Rhode Island locations. We also utilize third-party contract manufacturers for certain clinical products.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Item 1A. Risk Factors for a discussion of the factors that could adversely impact our manufacturing operations and the global supply of our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distribution centers in the United States—principally in Kentucky and California—and the Netherlands for worldwide distribution of the majority of our commercial and clinical products. We also use third-party distributors to supplement distribution of our products worldwide.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manufacturing and distribution activities noted above, our operations in the United States, Puerto Rico and the Netherlands include key manufacturing support functions, including quality control, process development, procurement, production scheduling and warehousing. Certain of those manufacturing and distribution activities are highly regulated by the FDA as well as other international regulatory agencies. See Government Regulation— Regulation of Manufacturing Standards</w:t>
      </w:r>
      <w:r>
        <w:rPr>
          <w:rFonts w:ascii="Times New Roman" w:cs="Times New Roman" w:eastAsia="Times New Roman" w:hAnsi="Times New Roman"/>
          <w:sz w:val="18"/>
          <w:szCs w:val="18"/>
          <w:i w:val="1"/>
          <w:iCs w:val="1"/>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Initiatives</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multiple ongoing initiatives that are designed to optimize our manufacturing network and/or mitigate manufacturing risks while continuing to ensure adequate supply of our products. These initiatives include the licensure of a new formulation and fill facility at our Puerto Rico site; and as part of a risk mitigation strategy, full licensure of our formulation, fill and finish site in Ireland to manufacture our products. Both of these new facilities will require qualification and licensure by various regulatory authorities.</w:t>
      </w:r>
    </w:p>
    <w:p>
      <w:pPr>
        <w:spacing w:after="0" w:line="99"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8"/>
          <w:szCs w:val="18"/>
          <w:color w:val="auto"/>
        </w:rPr>
        <w:t>In 2014, we completed construction of the planned monoclonal antibody manufacturing facility in Singapore. Upon licensure, this facility will expand our capability to manufacture monoclonal antibodies utilizing new technology and innovation. The facility will be fully reconfigurable, providing efficient manufacturing capabilities to help ensure supply of our products worldwide. We also announced plans to build an additional new facility at the site in Singapore to enable the manufacture of the active pharmaceutical ingredient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these initiatives, we have projects designed to optimize manufacturing asset utilization, to continue our use of third-party contract manufacturers and to maintain a state of regulatory compliance. This includes manufacturing network consolidation initiatives as well as process improvements surrounding manufacturing. See Item 1A. Risk Factors—Manufacturing difficulties, disruptions or delays could limit supply of our products and limit our product sales.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Raw Materials and Medical Devices</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raw materials, medical devices and components necessary for the commercial and/or clinical manufacturing of our products are provided by and are the proprietary products of unaffiliated third-party suppliers, certain of which may be our only sources for such materials. We currently attempt to manage the risk associated with such suppliers by inventory management, relationship management and evaluation of alternative sources when feasible. We also monitor the financial condition of certain suppliers and their ability to supply our needs. See Item 1A. Risk Factors—We rely on third-party suppliers for certain of our raw materials, medical devices and components.</w:t>
      </w:r>
    </w:p>
    <w:p>
      <w:pPr>
        <w:spacing w:after="0" w:line="1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perform various procedures to assist in authenticating the source of raw materials, including intermediary materials used in the manufacture of our products, which include verification of the country of origin. These procedures are incorporated into the manufacturing processes we and our third-party contract manufacturers perform.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other countries is a significant factor in the production and marketing of our products and our ongoing research and development (R&amp;D) activities. In order to clinically test, manufacture and market products for therapeutic use, we must satisfy mandatory procedures and safety and effectiveness standards established by various regulatory bodies.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United States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United States, the Public Health Service Act, the Federal Food, Drug, and Cosmetic Act (FDCA) and the regulations promulgated thereunder, as well as other federal and state statutes and regulations govern, among other things, the production, research, development, testing, manufacture, quality control, labeling, storage, record keeping, approval, advertising and promotion, reporting of certain payments and other transfers of value, and distribution of our products. Failure to comply with applicable regulatory requirements may subject us to administrative and/or judicially imposed sanctions. The sanctions could include the FDA’s refusal to approve pending applications, withdrawals of approvals, delay or suspension of clinical trials, warning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letters, product recalls, product seizures, total or partial suspension of our operations, injunctions, fines, civil penalties and/or criminal prosecution.</w:t>
      </w:r>
    </w:p>
    <w:p>
      <w:pPr>
        <w:spacing w:after="0" w:line="14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Development and Product Approval. </w:t>
      </w:r>
      <w:r>
        <w:rPr>
          <w:rFonts w:ascii="Times New Roman" w:cs="Times New Roman" w:eastAsia="Times New Roman" w:hAnsi="Times New Roman"/>
          <w:sz w:val="18"/>
          <w:szCs w:val="18"/>
          <w:color w:val="auto"/>
        </w:rPr>
        <w:t>Drug development in our industry is complex, challenging and risky; and failure rates are high.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cycles are very long - approximately 10 to 15 years from discovery to market. A potential new medicine must undergo many years of preclinical and clinical testing to establish its safety and efficacy for use in humans at appropriate dosing levels and with an acceptable benefit-risk profile.</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After laboratory analysis and preclinical testing in animals, we file an Investigational New Drug Application (IND) with the FDA to begin human testing. Typically, we undertake an FDA-designated three-phase human clinical testing program.</w:t>
      </w:r>
    </w:p>
    <w:p>
      <w:pPr>
        <w:spacing w:after="0" w:line="81" w:lineRule="exact"/>
        <w:rPr>
          <w:sz w:val="20"/>
          <w:szCs w:val="20"/>
          <w:color w:val="auto"/>
        </w:rPr>
      </w:pPr>
    </w:p>
    <w:p>
      <w:pPr>
        <w:ind w:left="1100" w:right="20" w:hanging="322"/>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we conduct small clinical trials to investigate the safety and proper dose ranges of our product candidates in a small number of human subjects.</w:t>
      </w:r>
    </w:p>
    <w:p>
      <w:pPr>
        <w:spacing w:after="0" w:line="80" w:lineRule="exact"/>
        <w:rPr>
          <w:rFonts w:ascii="Times New Roman" w:cs="Times New Roman" w:eastAsia="Times New Roman" w:hAnsi="Times New Roman"/>
          <w:sz w:val="18"/>
          <w:szCs w:val="18"/>
          <w:color w:val="auto"/>
        </w:rPr>
      </w:pPr>
    </w:p>
    <w:p>
      <w:pPr>
        <w:ind w:left="1100" w:hanging="322"/>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we conduct clinical trials to investigate side effect profiles and the efficacy of our product candidates in a larger number of patients who have the disease or condition under study.</w:t>
      </w:r>
    </w:p>
    <w:p>
      <w:pPr>
        <w:spacing w:after="0" w:line="80" w:lineRule="exact"/>
        <w:rPr>
          <w:rFonts w:ascii="Times New Roman" w:cs="Times New Roman" w:eastAsia="Times New Roman" w:hAnsi="Times New Roman"/>
          <w:sz w:val="18"/>
          <w:szCs w:val="18"/>
          <w:color w:val="auto"/>
        </w:rPr>
      </w:pPr>
    </w:p>
    <w:p>
      <w:pPr>
        <w:ind w:left="1100" w:hanging="322"/>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3, we conduct clinical trials to investigate the safety and efficacy of our product candidates in a large number of patients who have the disease or condition under study.</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FDA monitors the progress of each trial conducted under an IND and may, at its discretion, re-evaluate, alter, suspend or terminate the testing based on the data accumulated to that point and the FDA’s risk/benefit assessment with regard to the patients enrolled in the trial. The results of preclinical and clinical trials are submitted to the FDA in the form of a BLA for biologic products or a New Drug Application for small molecule products. We cannot market or promote a new product until our marketing application has been approved by the FDA.</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Item 1A. Risk Factors for a discussion of the factors that could adversely impact our development of commercial products.</w:t>
      </w:r>
    </w:p>
    <w:p>
      <w:pPr>
        <w:spacing w:after="0" w:line="14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Approval of Biosimilars</w:t>
      </w:r>
      <w:r>
        <w:rPr>
          <w:rFonts w:ascii="Times New Roman" w:cs="Times New Roman" w:eastAsia="Times New Roman" w:hAnsi="Times New Roman"/>
          <w:sz w:val="18"/>
          <w:szCs w:val="18"/>
          <w:color w:val="auto"/>
        </w:rPr>
        <w:t>. The ACA authorized the FDA to approve biosimilars via a separate, abbreviated pathway. In many cases, this allows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biosimilars to be brought to market without conducting the full suite of clinical trials typically required of originators. The law establishes a period of 12 years of data exclusivity for reference products in order to preserve incentives for future innovation and outlines statutory criteria for science-based biosimilar approval standards that take into account patient safety considerations. Under this framework, data exclusivity protects the data in the innovator’s regulatory application by prohibiting others, for a period of 12 years, from gaining FDA approval based in part on reliance on or reference to the innovator’s data in their application to the FDA. The law does not change the duration of patents granted on biologic products. Since February 2012, the FDA has released six draft guidance documents as part of the implementation of the abbreviated approval pathway for biosimilars and these have not yet been finalized. In early February 2014, the FDA released its planned agenda for 2014, which included the possible publication of new draft guidance documents relating to biosimilar interchangeability and biosimilars labeling. Four manufacturers have announced the filing of five separate marketing applications to the FDA under the biosimilar pathway. These marketing applications include two for filgrastim, one for pegfilgrastim, and one for epoetin alfa, which if approved would compete with our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respectively. As of the end of 2014, no biosimilar applications had been approved by the FDA. In January 2015, Sandoz, a Novartis company, announced that the FDA ODAC recommended approval of its investigational biosimilar filgrastim for use in all indications included in the reference product’s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label.</w:t>
      </w:r>
    </w:p>
    <w:p>
      <w:pPr>
        <w:spacing w:after="0" w:line="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Regulation of Product Marketing and Promotion</w:t>
      </w:r>
      <w:r>
        <w:rPr>
          <w:rFonts w:ascii="Times New Roman" w:cs="Times New Roman" w:eastAsia="Times New Roman" w:hAnsi="Times New Roman"/>
          <w:sz w:val="18"/>
          <w:szCs w:val="18"/>
          <w:color w:val="auto"/>
        </w:rPr>
        <w:t>. The FDA regulates the marketing and promotion of products. Our product promotion for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indications must comply with the statutory standards of the FDCA, and the FDA’s implementing regulations and standards. The FDA’s review of marketing and promotional activities encompasses, but is not limited to, direct-to-consumer advertising, healthcare provider-directed advertising and promotion, sales representative communications to healthcare professionals, promotional programming and promotional activities involving the Internet. The FDA may also review industry-sponsored scientific and educational activities that make representations regarding product safety or efficacy in a promotional context. The FDA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 care fraud and abuse laws.</w:t>
      </w:r>
    </w:p>
    <w:p>
      <w:pPr>
        <w:spacing w:after="0" w:line="10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Regulation of Manufacturing Standards</w:t>
      </w:r>
      <w:r>
        <w:rPr>
          <w:rFonts w:ascii="Times New Roman" w:cs="Times New Roman" w:eastAsia="Times New Roman" w:hAnsi="Times New Roman"/>
          <w:sz w:val="18"/>
          <w:szCs w:val="18"/>
          <w:color w:val="auto"/>
        </w:rPr>
        <w:t>. The FDA regulates and inspects equipment, facilities, laboratories and processes used in the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of products prior to providing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FDA through its facilities inspection program. The FDA conducts regular, periodic visits to re-inspect our equipment, facilities, laboratories and processes following an initial approval. If the FDA determines that we no longer comply with applicable regulations and conditions of approval, they may seek civil, criminal or administrative sanctions and/or remedies against us, including suspension of our manufacturing operations. Such issues may also delay the approval of new products undergoing FDA review.</w:t>
      </w:r>
    </w:p>
    <w:p>
      <w:pPr>
        <w:spacing w:after="0" w:line="9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Regulation of Combination Products</w:t>
      </w:r>
      <w:r>
        <w:rPr>
          <w:rFonts w:ascii="Times New Roman" w:cs="Times New Roman" w:eastAsia="Times New Roman" w:hAnsi="Times New Roman"/>
          <w:sz w:val="18"/>
          <w:szCs w:val="18"/>
          <w:color w:val="auto"/>
        </w:rPr>
        <w:t>. Combination products are defined by the FDA to include products comprised of two or more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(e.g., a 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Outside the United States</w:t>
      </w:r>
    </w:p>
    <w:p>
      <w:pPr>
        <w:spacing w:after="0" w:line="14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010202"/>
        </w:rPr>
        <w:t>In the EU countries, Switzerland, Canada, Australia, and Japan, regulatory requirements and approval processes are similar in principle to those in the United States. In the EU, depending on the type of drug for which approval is sought, there are currently two potential tracks for marketing approval, including a decentralized and centralized procedure. In the decentralized procedure, identical applications for marketing authorization are submitted simultaneously to the national regulatory agencies. The application is assessed by an initial national agency (Reference Member State) and those of chosen countries (Concerned Member States). Regulatory review is led by the Reference Member State and acknowledged by the Concerned Member States leading to a single approval in all relevant countries. In the centralized procedure, which is required of all products derived from biotechnology, a company submits a single MAA to the EMA, which conducts a thorough product evaluation, drawing from its scientific resources across Europe. If the drug product is proven to fulfill the requirements for quality, safety and efficacy, the Committee for Medicinal Products for Human Use (CHMP) adopts a positive opinion, which is transmitted to the European Commission (EC) for final approval of the marketing authorization. Subsequent commercialization is enabled by country-by-country reimbursement approval. While the EC generally follows the CHMP's opinion, it is not bound to do so. In Japan, additional local clinical trials may be required as part of the drug registration process, which can add to the drug registration timelines.</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010202"/>
        </w:rPr>
        <w:t>In the EU, biosimilars have been approved under a specialized pathway of the centralized procedure. The pathway allows sponsors of a biosimilar to seek and obtain regulatory approval based in part on the non-clinical and clinical trial data of an originator product to which the biosimilar has been demonstrated to be “similar.” The relevance of demonstrating similarity is that it allows biosimilars to be brought to market without conducting the full suite of clinical trials typically required of originator products, as benefit-risk has previously been established.</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010202"/>
        </w:rPr>
        <w:t>Emerging Markets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countries such as Russia, Turkey and those in Latin America and the Middle East have review processes and data requirements similar to those of the EU, and in some cases rely on prior marketing approval from United States or EU regulatory authorities. The regulatory process in these countries includes manufacturing/testing facility inspections, testing of drug product upon importation and other domestic requirements.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Asia, a number of countries such as China, South Korea, and Taiwan may require local clinical trials as part of the drug registration process in addition to the global clinical trials which can add to the drug registration timelines. In most Asian markets, registration timelines are dependent on marketing approval in the United States or EU. However, in some emerging markets in Asia, such as China, the regulatory landscape is evolving and the regulatory timelines can be less predictable.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Phase</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After approval, we continue to monitor adverse events reported following the use of our products through post marketing routine pharmacovigilance surveillance and studies when applicable. We report such events to the appropriate regulatory agencies, as required per local regulations for individual cases and aggregate reports. We proactively monitor (according to good pharmacovigilance practices) and ensure the implementation of signal detection, assessment and communication of adverse events that may be associated with the use of our products. We may also be required by regulatory agencies to conduct further clinical trials on our marketed products as a condition of their approval or to provide additional information on safety and efficacy. Failure to implement these pharmacovigilance activities, including the conduct of post approval commitments for trials in a timely manner, may result in substantial civil or criminal penalties. Failure to comply with these requirements may also have an adverse effect on our pricing and reimbursement. Health authorities, including the FDA, have authority to mandate labeling changes to products at any point in a product’s lifecycle based on new safety information or as part of an evolving label change to a particular class of products.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Health authorities, including the FDA, also have the authority, before or after approval, to require companies to implement a risk management program for a product to ensure that the benefits of the drug outweigh the risks. Each risk management program is unique and varies depending on the specific factors required. In the United States, a risk management program is known as 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jc w:val="both"/>
        <w:spacing w:after="0" w:line="214" w:lineRule="auto"/>
        <w:rPr>
          <w:sz w:val="20"/>
          <w:szCs w:val="20"/>
          <w:color w:val="auto"/>
        </w:rPr>
      </w:pPr>
      <w:r>
        <w:rPr>
          <w:rFonts w:ascii="Times New Roman" w:cs="Times New Roman" w:eastAsia="Times New Roman" w:hAnsi="Times New Roman"/>
          <w:sz w:val="18"/>
          <w:szCs w:val="18"/>
          <w:color w:val="auto"/>
        </w:rPr>
        <w:t>risk evaluation and mitigation strategy, or REMS; failure to comply with a REMS may result in substantial civil or criminal penalties and can result in additional limitations being placed on a product’s use or withdrawal of the product from the market. We currently have REMS for our ESAs,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BLINCYTO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Similarly, in the EU, failure to meet risk management commitments may result in substantial financial penalties, reputational loss, or license withdrawal and in serious cases may result in criminal prosecution.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also subject to various laws pertaining to healthcare “fraud and abuse,” including anti-kickback laws and false claims laws. Anti-kickback laws make it illegal to solicit, offer, receive or pay any remuneration in exchange for or to induce the referral of business, including the purchase or prescription of a particular drug that is reimbursed by a state or federal program. False 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the possibility of exclusion from federal healthcare programs (including Medicare and Medicaid). Liability under the false claims laws may also arise when a violation of certain laws or regulations related to the underlying products (for example, violations regarding improper promotional activity or unlawful payments) contributes to the submission of a false claim.</w:t>
      </w:r>
    </w:p>
    <w:p>
      <w:pPr>
        <w:spacing w:after="0" w:line="10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19, 2012, Amgen announced that it had finalized a settlement agreement with the U.S. government and various other parties regarding allegations that Amgen's promotional, contracting, sales and marketing activities and arrangements caused the submission of various false claims under the Federal Civil False Claims Act and various State False Claims Acts. In connection with entering into the settlement agreement, Amgen also entered into a corporate integrity agreement with the Office of Inspector General (OIG) of the U.S. Department of Health and Human Services that requires Amgen to maintain its corporate compliance program and to undertake a set of defined corporate integrity obligations for a period of five years. Due to the breadth of the statutory provisions and the absence of guidance in the form of regulations or court decisions addressing some of our practices, it is possible that in the future our practices might be further challenged under anti-kickback or similar laws.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also subject to regulation under the Occupational Safety and Health Act, the Toxic Substances Control Act, the Resource Conservation and Recovery Act and other current and potential future federal, state or local laws, rules and/or regulations. Our R&amp;D activities involve the controlled use of hazardous materials, chemicals, biological materials and various radioactive compounds. We believe our procedures comply with the standards prescribed by federal, state or local laws, rules and/or regulations; however, the risk of injury or accidental contamination cannot be completely eliminated. While we are not required to do so, we strive to conduct our research and manufacturing activities in a manner that meets the intents and purposes of the National Institutes of Health Guidelines for Recombinant DNA Research.</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Additionally, 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has been and will continue to be subject to various other U.S. and foreign laws, rules and/or regulations.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Selected Product Candidates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focus our R&amp;D on novel human therapeutics for the treatment of grievous illness in the areas of oncology, hematology, inflammation, bone health, nephrology, cardiovascular and general medicine, which includes neuroscience. We take a modality-independent approach to R&amp;D with a focus on biologics. Our discovery research programs may therefore yield targets that lead to the development of human therapeutics delivered as large molecules, small molecules, or other combination or new modalities. For the years ended December 31, 2014, 2013 and 2012, our R&amp;D expenses were $4.3 billion, $4.1 billion and $3.4 billion, respectively.</w:t>
      </w:r>
    </w:p>
    <w:p>
      <w:pPr>
        <w:spacing w:after="0" w:line="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have major R&amp;D centers in several locations throughout the United States and in the United Kingdom, as well as smaller research centers and development facilities globally. See Item 2. Properties.</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 clinical trial activities using both our internal staff and third-party contract clinical trial service providers. To increase the number of patients available for enrollment in our clinical trials, we have opened clinical sites and will continue to open clinical sites and to enroll patients in a number of geographic locations. See Government Regulation—Clinical Development and Product Approval for a discussion of government regulation over clinical development. Also see Item 1A. Risk Factors—We must conduct clinical trials in humans before we can commercialize and sell any of our product candidates or existing products for new indications.</w:t>
      </w:r>
    </w:p>
    <w:p>
      <w:pPr>
        <w:spacing w:after="0" w:line="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are actively engaged in R&amp;D in areas where we have products or where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significantly dependent on the timing of entry into the market. Early entry may have important advantages in gaining product acceptance, thereby contributing to the product’s eventual success and profitability. Accordingly, we expect that in some cases, the relative speed with which we can develop products, complete clinical testing, receive regulatory approval and supply commercial quantities of the product to the market will be important to our competitive position.</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spacing w:after="0" w:line="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is a selection of certain of our product candidates by phase of development in our therapeutic areas of focus as of February 12, 2015,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other, non-registrational clinical trials that we may conduct for purposes other than for submission to regulatory agencies for their approval of a new product indication. We may conduct non-registrational clinical trials for various reasons including to evaluate real-world outcomes or to collect additional safety information with the use of our products. In addition, the table does not include the biosimilar products we are developing, which are discussed later in this section.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354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7880" w:type="dxa"/>
            <w:vAlign w:val="bottom"/>
          </w:tcPr>
          <w:p>
            <w:pPr>
              <w:ind w:left="3380"/>
              <w:spacing w:after="0"/>
              <w:rPr>
                <w:sz w:val="20"/>
                <w:szCs w:val="20"/>
                <w:color w:val="auto"/>
              </w:rPr>
            </w:pPr>
            <w:r>
              <w:rPr>
                <w:rFonts w:ascii="Times New Roman" w:cs="Times New Roman" w:eastAsia="Times New Roman" w:hAnsi="Times New Roman"/>
                <w:sz w:val="14"/>
                <w:szCs w:val="14"/>
                <w:b w:val="1"/>
                <w:bCs w:val="1"/>
                <w:color w:val="auto"/>
              </w:rPr>
              <w:t>Disease/Condition</w:t>
            </w:r>
          </w:p>
        </w:tc>
      </w:tr>
      <w:tr>
        <w:trPr>
          <w:trHeight w:val="78"/>
        </w:trPr>
        <w:tc>
          <w:tcPr>
            <w:tcW w:w="3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880" w:type="dxa"/>
            <w:vAlign w:val="bottom"/>
            <w:tcBorders>
              <w:bottom w:val="single" w:sz="8" w:color="auto"/>
            </w:tcBorders>
          </w:tcPr>
          <w:p>
            <w:pPr>
              <w:spacing w:after="0"/>
              <w:rPr>
                <w:sz w:val="6"/>
                <w:szCs w:val="6"/>
                <w:color w:val="auto"/>
              </w:rPr>
            </w:pPr>
          </w:p>
        </w:tc>
      </w:tr>
      <w:tr>
        <w:trPr>
          <w:trHeight w:val="186"/>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Phase 3 Programs</w:t>
            </w:r>
          </w:p>
        </w:tc>
        <w:tc>
          <w:tcPr>
            <w:tcW w:w="7880" w:type="dxa"/>
            <w:vAlign w:val="bottom"/>
            <w:shd w:val="clear" w:color="auto" w:fill="CCEEFF"/>
          </w:tcPr>
          <w:p>
            <w:pPr>
              <w:spacing w:after="0"/>
              <w:rPr>
                <w:sz w:val="16"/>
                <w:szCs w:val="16"/>
                <w:color w:val="auto"/>
              </w:rPr>
            </w:pP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416</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Secondary hyperparathyroidism in patients with CKD receiving dialysis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Aranesp</w:t>
            </w:r>
            <w:r>
              <w:rPr>
                <w:rFonts w:ascii="Times New Roman" w:cs="Times New Roman" w:eastAsia="Times New Roman" w:hAnsi="Times New Roman"/>
                <w:sz w:val="8"/>
                <w:szCs w:val="8"/>
                <w:color w:val="auto"/>
              </w:rPr>
              <w:t>®</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Myelodysplastic syndromes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BLINCYTO</w:t>
            </w:r>
            <w:r>
              <w:rPr>
                <w:rFonts w:ascii="Arial" w:cs="Arial" w:eastAsia="Arial" w:hAnsi="Arial"/>
                <w:sz w:val="8"/>
                <w:szCs w:val="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53"/>
        </w:trPr>
        <w:tc>
          <w:tcPr>
            <w:tcW w:w="3540" w:type="dxa"/>
            <w:vAlign w:val="bottom"/>
            <w:gridSpan w:val="2"/>
            <w:shd w:val="clear" w:color="auto" w:fill="CCEEFF"/>
          </w:tcPr>
          <w:p>
            <w:pPr>
              <w:ind w:left="500"/>
              <w:spacing w:after="0" w:line="153" w:lineRule="exact"/>
              <w:rPr>
                <w:sz w:val="20"/>
                <w:szCs w:val="20"/>
                <w:color w:val="auto"/>
              </w:rPr>
            </w:pPr>
            <w:r>
              <w:rPr>
                <w:rFonts w:ascii="Times New Roman" w:cs="Times New Roman" w:eastAsia="Times New Roman" w:hAnsi="Times New Roman"/>
                <w:sz w:val="14"/>
                <w:szCs w:val="14"/>
                <w:color w:val="auto"/>
              </w:rPr>
              <w:t>Brodalumab</w:t>
            </w:r>
          </w:p>
        </w:tc>
        <w:tc>
          <w:tcPr>
            <w:tcW w:w="788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Psoriasis;</w:t>
            </w:r>
          </w:p>
        </w:tc>
      </w:tr>
      <w:tr>
        <w:trPr>
          <w:trHeight w:val="198"/>
        </w:trPr>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Psoriatic arthritis</w:t>
            </w: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Evolocumab</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Dyslipidemia</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Kyprolis</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Multiple myeloma</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Prolia</w:t>
            </w:r>
            <w:r>
              <w:rPr>
                <w:rFonts w:ascii="Times New Roman" w:cs="Times New Roman" w:eastAsia="Times New Roman" w:hAnsi="Times New Roman"/>
                <w:sz w:val="8"/>
                <w:szCs w:val="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Glucocorticoid-induced osteoporosis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53"/>
        </w:trPr>
        <w:tc>
          <w:tcPr>
            <w:tcW w:w="3540" w:type="dxa"/>
            <w:vAlign w:val="bottom"/>
            <w:gridSpan w:val="2"/>
            <w:shd w:val="clear" w:color="auto" w:fill="CCEEFF"/>
          </w:tcPr>
          <w:p>
            <w:pPr>
              <w:ind w:left="500"/>
              <w:spacing w:after="0" w:line="153" w:lineRule="exact"/>
              <w:rPr>
                <w:sz w:val="20"/>
                <w:szCs w:val="20"/>
                <w:color w:val="auto"/>
              </w:rPr>
            </w:pPr>
            <w:r>
              <w:rPr>
                <w:rFonts w:ascii="Times New Roman" w:cs="Times New Roman" w:eastAsia="Times New Roman" w:hAnsi="Times New Roman"/>
                <w:sz w:val="14"/>
                <w:szCs w:val="14"/>
                <w:color w:val="auto"/>
              </w:rPr>
              <w:t>Romosozumab</w:t>
            </w:r>
          </w:p>
        </w:tc>
        <w:tc>
          <w:tcPr>
            <w:tcW w:w="788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Postmenopausal osteoporosis</w:t>
            </w:r>
          </w:p>
        </w:tc>
      </w:tr>
      <w:tr>
        <w:trPr>
          <w:trHeight w:val="198"/>
        </w:trPr>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Male osteoporosis</w:t>
            </w: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Talimogene laherparepvec</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Metastatic melanoma</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Trebananib</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First-line ovarian cancer</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Vectibix</w:t>
            </w:r>
            <w:r>
              <w:rPr>
                <w:rFonts w:ascii="Times New Roman" w:cs="Times New Roman" w:eastAsia="Times New Roman" w:hAnsi="Times New Roman"/>
                <w:sz w:val="8"/>
                <w:szCs w:val="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Metastatic colorectal cancer (mCRC) (US only)</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53"/>
        </w:trPr>
        <w:tc>
          <w:tcPr>
            <w:tcW w:w="3540" w:type="dxa"/>
            <w:vAlign w:val="bottom"/>
            <w:gridSpan w:val="2"/>
            <w:shd w:val="clear" w:color="auto" w:fill="CCEEFF"/>
          </w:tcPr>
          <w:p>
            <w:pPr>
              <w:ind w:left="500"/>
              <w:spacing w:after="0" w:line="153" w:lineRule="exact"/>
              <w:rPr>
                <w:sz w:val="20"/>
                <w:szCs w:val="20"/>
                <w:color w:val="auto"/>
              </w:rPr>
            </w:pPr>
            <w:r>
              <w:rPr>
                <w:rFonts w:ascii="Times New Roman" w:cs="Times New Roman" w:eastAsia="Times New Roman" w:hAnsi="Times New Roman"/>
                <w:sz w:val="14"/>
                <w:szCs w:val="14"/>
                <w:color w:val="auto"/>
              </w:rPr>
              <w:t>XGEVA</w:t>
            </w:r>
            <w:r>
              <w:rPr>
                <w:rFonts w:ascii="Times New Roman" w:cs="Times New Roman" w:eastAsia="Times New Roman" w:hAnsi="Times New Roman"/>
                <w:sz w:val="8"/>
                <w:szCs w:val="8"/>
                <w:color w:val="auto"/>
              </w:rPr>
              <w:t>®</w:t>
            </w:r>
          </w:p>
        </w:tc>
        <w:tc>
          <w:tcPr>
            <w:tcW w:w="788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Delay or prevention of bone metastases in breast cancer;</w:t>
            </w:r>
          </w:p>
        </w:tc>
      </w:tr>
      <w:tr>
        <w:trPr>
          <w:trHeight w:val="198"/>
        </w:trPr>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Cancer-related bone damage in patients with multiple myeloma</w:t>
            </w:r>
          </w:p>
        </w:tc>
      </w:tr>
      <w:tr>
        <w:trPr>
          <w:trHeight w:val="19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Phase 2 Programs</w:t>
            </w:r>
          </w:p>
        </w:tc>
        <w:tc>
          <w:tcPr>
            <w:tcW w:w="7880" w:type="dxa"/>
            <w:vAlign w:val="bottom"/>
          </w:tcPr>
          <w:p>
            <w:pPr>
              <w:spacing w:after="0"/>
              <w:rPr>
                <w:sz w:val="16"/>
                <w:szCs w:val="16"/>
                <w:color w:val="auto"/>
              </w:rPr>
            </w:pP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139</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Inflammatory diseases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157</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Asthma</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181</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Inflammatory bowel diseases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334</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Migraine</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337</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Gastric cancer</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BLINCYTO</w:t>
            </w:r>
            <w:r>
              <w:rPr>
                <w:rFonts w:ascii="Arial" w:cs="Arial" w:eastAsia="Arial" w:hAnsi="Arial"/>
                <w:sz w:val="8"/>
                <w:szCs w:val="8"/>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Diffuse Large B-Cell Lymphoma (DLBCL)</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Brodalumab</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Inflammatory diseases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Kyprolis</w:t>
            </w:r>
            <w:r>
              <w:rPr>
                <w:rFonts w:ascii="Times New Roman" w:cs="Times New Roman" w:eastAsia="Times New Roman" w:hAnsi="Times New Roman"/>
                <w:sz w:val="8"/>
                <w:szCs w:val="8"/>
                <w:color w:val="auto"/>
              </w:rPr>
              <w:t>®</w:t>
            </w:r>
            <w:r>
              <w:rPr>
                <w:rFonts w:ascii="Times New Roman" w:cs="Times New Roman" w:eastAsia="Times New Roman" w:hAnsi="Times New Roman"/>
                <w:sz w:val="14"/>
                <w:szCs w:val="14"/>
                <w:color w:val="auto"/>
              </w:rPr>
              <w:t>*</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Small-cell lung cancer</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Omecamtiv mecarbil</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Heart failure</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Oprozomib*</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Hematologic malignancies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XGEVA</w:t>
            </w:r>
            <w:r>
              <w:rPr>
                <w:rFonts w:ascii="Times New Roman" w:cs="Times New Roman" w:eastAsia="Times New Roman" w:hAnsi="Times New Roman"/>
                <w:sz w:val="8"/>
                <w:szCs w:val="8"/>
                <w:color w:val="auto"/>
              </w:rPr>
              <w:t>®</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Metastatic non-small cell lung cancer (NSCLC)</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Phase 1 Programs</w:t>
            </w:r>
          </w:p>
        </w:tc>
        <w:tc>
          <w:tcPr>
            <w:tcW w:w="7880" w:type="dxa"/>
            <w:vAlign w:val="bottom"/>
          </w:tcPr>
          <w:p>
            <w:pPr>
              <w:spacing w:after="0"/>
              <w:rPr>
                <w:sz w:val="16"/>
                <w:szCs w:val="16"/>
                <w:color w:val="auto"/>
              </w:rPr>
            </w:pP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172</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Renal cell carcinoma</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208</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211</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232</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282</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Asthma</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319</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Hematologic malignancies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357</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Autoimmune diseases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557</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Systemic lupus erythematosus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581</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Schizophrenia</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595</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Glioblastoma</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780</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811</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Systemic lupus erythematosus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820</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AMG 876</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Type 2 diabetes</w:t>
            </w:r>
          </w:p>
        </w:tc>
      </w:tr>
      <w:tr>
        <w:trPr>
          <w:trHeight w:val="78"/>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80" w:type="dxa"/>
            <w:vAlign w:val="bottom"/>
          </w:tcPr>
          <w:p>
            <w:pPr>
              <w:spacing w:after="0"/>
              <w:rPr>
                <w:sz w:val="6"/>
                <w:szCs w:val="6"/>
                <w:color w:val="auto"/>
              </w:rPr>
            </w:pPr>
          </w:p>
        </w:tc>
      </w:tr>
      <w:tr>
        <w:trPr>
          <w:trHeight w:val="193"/>
        </w:trPr>
        <w:tc>
          <w:tcPr>
            <w:tcW w:w="3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AMG 900</w:t>
            </w:r>
          </w:p>
        </w:tc>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Various cancer types</w:t>
            </w:r>
          </w:p>
        </w:tc>
      </w:tr>
      <w:tr>
        <w:trPr>
          <w:trHeight w:val="78"/>
        </w:trPr>
        <w:tc>
          <w:tcPr>
            <w:tcW w:w="3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80" w:type="dxa"/>
            <w:vAlign w:val="bottom"/>
            <w:shd w:val="clear" w:color="auto" w:fill="CCEEFF"/>
          </w:tcPr>
          <w:p>
            <w:pPr>
              <w:spacing w:after="0"/>
              <w:rPr>
                <w:sz w:val="6"/>
                <w:szCs w:val="6"/>
                <w:color w:val="auto"/>
              </w:rPr>
            </w:pPr>
          </w:p>
        </w:tc>
      </w:tr>
      <w:tr>
        <w:trPr>
          <w:trHeight w:val="193"/>
        </w:trPr>
        <w:tc>
          <w:tcPr>
            <w:tcW w:w="35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Oprozomib*</w:t>
            </w:r>
          </w:p>
        </w:tc>
        <w:tc>
          <w:tcPr>
            <w:tcW w:w="7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Solid tumors</w:t>
            </w:r>
          </w:p>
        </w:tc>
      </w:tr>
    </w:tbl>
    <w:p>
      <w:pPr>
        <w:spacing w:after="0" w:line="194" w:lineRule="exact"/>
        <w:rPr>
          <w:sz w:val="20"/>
          <w:szCs w:val="20"/>
          <w:color w:val="auto"/>
        </w:rPr>
      </w:pPr>
    </w:p>
    <w:p>
      <w:pPr>
        <w:ind w:left="180"/>
        <w:spacing w:after="0"/>
        <w:tabs>
          <w:tab w:leader="none" w:pos="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Being developed by Onyx, an Amgen subsidiary.</w:t>
      </w: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36" w:right="239"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4"/>
          <w:szCs w:val="14"/>
          <w:b w:val="1"/>
          <w:bCs w:val="1"/>
          <w:color w:val="auto"/>
        </w:rPr>
        <w:t>Phase 3</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Phase 2</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Phase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clinical trials investigate the safety and efficacy of a product candidate in a large number of patients who have the disease or condition under study.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trials investigate side effect profiles and efficacy of a product candidate in a large number of patients who have the disease or condition under study.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trials investigate safety and proper dose ranges of a product candidate in a small number of human subjects.</w:t>
      </w:r>
    </w:p>
    <w:p>
      <w:pPr>
        <w:spacing w:after="0" w:line="200" w:lineRule="exact"/>
        <w:rPr>
          <w:sz w:val="20"/>
          <w:szCs w:val="20"/>
          <w:color w:val="auto"/>
        </w:rPr>
      </w:pPr>
    </w:p>
    <w:p>
      <w:pPr>
        <w:sectPr>
          <w:pgSz w:w="11900" w:h="16838" w:orient="portrait"/>
          <w:cols w:equalWidth="0" w:num="2">
            <w:col w:w="500" w:space="580"/>
            <w:col w:w="10340"/>
          </w:cols>
          <w:pgMar w:left="240" w:top="736" w:right="239" w:bottom="1440" w:gutter="0" w:footer="0" w:header="0"/>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Product Candidate Program Changes</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February 17, 2014, we had 16 phase 3 programs. As of February 12, 2015, we had 15 phase 3 programs, as two programs advanced into phase 3 trials, one program was approved, and two programs were terminated or concluded. These changes are set forth in the following table: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120" w:type="dxa"/>
            <w:vAlign w:val="bottom"/>
            <w:tcBorders>
              <w:bottom w:val="single" w:sz="8" w:color="CCEEFF"/>
            </w:tcBorders>
          </w:tcPr>
          <w:p>
            <w:pPr>
              <w:spacing w:after="0"/>
              <w:rPr>
                <w:sz w:val="16"/>
                <w:szCs w:val="16"/>
                <w:color w:val="auto"/>
              </w:rPr>
            </w:pPr>
          </w:p>
        </w:tc>
        <w:tc>
          <w:tcPr>
            <w:tcW w:w="54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Disease / Condition</w:t>
            </w: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Program Change</w:t>
            </w:r>
          </w:p>
        </w:tc>
      </w:tr>
      <w:tr>
        <w:trPr>
          <w:trHeight w:val="24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Brodalumab</w:t>
            </w:r>
          </w:p>
        </w:tc>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Psoriatic arthritis</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Advanced to phase 3</w:t>
            </w:r>
          </w:p>
        </w:tc>
      </w:tr>
      <w:tr>
        <w:trPr>
          <w:trHeight w:val="270"/>
        </w:trPr>
        <w:tc>
          <w:tcPr>
            <w:tcW w:w="24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Male osteoporosis (EU only)</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EMA</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Rilotumumab</w:t>
            </w:r>
          </w:p>
        </w:tc>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Gastric cancer</w:t>
            </w:r>
          </w:p>
        </w:tc>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Terminated</w:t>
            </w: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Romosozumab</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Male osteoporosis</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Advanced to phase 3</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Mimpara</w:t>
            </w:r>
            <w:r>
              <w:rPr>
                <w:rFonts w:ascii="Times New Roman" w:cs="Times New Roman" w:eastAsia="Times New Roman" w:hAnsi="Times New Roman"/>
                <w:sz w:val="25"/>
                <w:szCs w:val="25"/>
                <w:color w:val="auto"/>
                <w:vertAlign w:val="superscript"/>
              </w:rPr>
              <w:t>®</w:t>
            </w:r>
          </w:p>
        </w:tc>
        <w:tc>
          <w:tcPr>
            <w:tcW w:w="5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 renal transplant</w:t>
            </w:r>
          </w:p>
        </w:tc>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Concluded - No longer pursuing indication</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Product Candidate Patent Information</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describes our outstanding composition of matter patents that have issued thus far for our product candidates in phase 3 development that have yet to be approved for any indication. Patents for products already approved for one or more indications but currently undergoing phase 3 clinical trials for additional indications are previously described. See Marketing, Distribution and Selected Marketed Products—Patents.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Molecule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Territory</w:t>
            </w:r>
          </w:p>
        </w:tc>
        <w:tc>
          <w:tcPr>
            <w:tcW w:w="120" w:type="dxa"/>
            <w:vAlign w:val="bottom"/>
            <w:tcBorders>
              <w:bottom w:val="single" w:sz="8" w:color="CCEEFF"/>
            </w:tcBorders>
          </w:tcPr>
          <w:p>
            <w:pPr>
              <w:spacing w:after="0"/>
              <w:rPr>
                <w:sz w:val="16"/>
                <w:szCs w:val="16"/>
                <w:color w:val="auto"/>
              </w:rPr>
            </w:pPr>
          </w:p>
        </w:tc>
        <w:tc>
          <w:tcPr>
            <w:tcW w:w="54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General Subject Matter</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Expiration*</w:t>
            </w:r>
          </w:p>
        </w:tc>
      </w:tr>
      <w:tr>
        <w:trPr>
          <w:trHeight w:val="24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Brodalumab</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Polynucleotides and polypeptides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43"/>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Polynucleotides and polypeptides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Evolocumab</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Polypeptides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Romosozumab</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Polypeptides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Polypeptides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Talimogene laherparepvec</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Modified HSV-1 compounds and strains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Modified HSV-1 compounds and strains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Trebananib</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Polynucleotides and polypeptides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Polynucleotides and polypeptides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43"/>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 416</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Compound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r>
    </w:tbl>
    <w:p>
      <w:pPr>
        <w:spacing w:after="0" w:line="144" w:lineRule="exact"/>
        <w:rPr>
          <w:sz w:val="20"/>
          <w:szCs w:val="20"/>
          <w:color w:val="auto"/>
        </w:rPr>
      </w:pPr>
    </w:p>
    <w:p>
      <w:pPr>
        <w:jc w:val="both"/>
        <w:ind w:left="420" w:hanging="412"/>
        <w:spacing w:after="0" w:line="261"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expiration estimates are based on issued patents, which may be challenged, invalidated, or circumvented by competitors. The patent expiration estimates do not include any term adjustments, extensions or supplemental protection certificates that may be obtained in the future and extend these dates. Corresponding patent applications are pending in other jurisdictions. Additional patents may be filed or issued and may provide additional exclusivity for the product candidate or its use.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and 2 Program Descriptions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text provides additional information about selected product candidates that have advanced into human clinical trials.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416</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AMG 416 is a peptide agonist of the human cell surface CaSR.</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July and August 2014, we announced results from two phase 3 studies evaluating AMG 416 for the treatment of secondary hyperparathyroidism in patients with CKD, receiving hemodialysis. Both studies met their primary and all secondary endpoints.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6"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Aranesp</w:t>
      </w:r>
      <w:r>
        <w:rPr>
          <w:rFonts w:ascii="Times New Roman" w:cs="Times New Roman" w:eastAsia="Times New Roman" w:hAnsi="Times New Roman"/>
          <w:sz w:val="25"/>
          <w:szCs w:val="25"/>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recombinant human protein agonist of the erythropoietin receptor.</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phase 3 study of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low risk myelodysplastic syndromes is ongoing.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BLINCYTO</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an anti-CD19 x anti-CD3 (BiTE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bispecific antibody.</w:t>
      </w:r>
    </w:p>
    <w:p>
      <w:pPr>
        <w:spacing w:after="0" w:line="64" w:lineRule="exact"/>
        <w:rPr>
          <w:sz w:val="20"/>
          <w:szCs w:val="20"/>
          <w:color w:val="auto"/>
        </w:rPr>
      </w:pPr>
    </w:p>
    <w:p>
      <w:pPr>
        <w:ind w:firstLine="432"/>
        <w:spacing w:after="0" w:line="218" w:lineRule="auto"/>
        <w:rPr>
          <w:sz w:val="20"/>
          <w:szCs w:val="20"/>
          <w:color w:val="auto"/>
        </w:rPr>
      </w:pPr>
      <w:r>
        <w:rPr>
          <w:rFonts w:ascii="Times New Roman" w:cs="Times New Roman" w:eastAsia="Times New Roman" w:hAnsi="Times New Roman"/>
          <w:sz w:val="18"/>
          <w:szCs w:val="18"/>
          <w:color w:val="auto"/>
        </w:rPr>
        <w:t>In December 2014, we received FDA accelerated approval of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patients with Ph- relapsed or refractory B-cell precursor ALL.</w:t>
      </w:r>
    </w:p>
    <w:p>
      <w:pPr>
        <w:spacing w:after="0" w:line="11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 phase 3 study in adult patients with relapsed/refractory ALL is ongoing. Phase 2 studies in adult patients with relapsed/refractory Philadelphia chromosome-positive (Ph+) and minimal residual disease of ALL are ongoing. A phase 2 study in adult patients with DLBCL is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Brodalumab</w:t>
      </w:r>
    </w:p>
    <w:p>
      <w:pPr>
        <w:spacing w:after="0" w:line="1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Brodalumab is a human monoclonal antibody that inhibits the interleukin-17 receptor. It is being investigated as a treatment for a variety of inflammatory diseases. Brodalumab is being jointly developed in collaboration with AstraZeneca.</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2014, we and AstraZeneca announced results from three phase 3 studies evaluating brodalumab in patients with moderate-to-severe plaque psoriasis met their primary endpoints.</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Two phase 3 studies evaluating brodalumab for the treatment of psoriatic arthritis initiated enrollment in 2014. A phase 2 study evaluating brodalumab for the treatment of asthma is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Denosumab</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Denosumab is a human monoclonal antibody that inhibits RANKL.</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Prolia</w:t>
      </w:r>
      <w:r>
        <w:rPr>
          <w:rFonts w:ascii="Times New Roman" w:cs="Times New Roman" w:eastAsia="Times New Roman" w:hAnsi="Times New Roman"/>
          <w:sz w:val="25"/>
          <w:szCs w:val="25"/>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2014, we received EMA approval for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osteoporosis in men at increased risk of fracture.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phase 3 study of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glucocorticoid-induced osteoporosis is ongoing.</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XGEVA</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2014, we received FDA approval for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hypercalcemia of malignancy refractory to bisphosphonate therapy.</w:t>
      </w:r>
    </w:p>
    <w:p>
      <w:pPr>
        <w:spacing w:after="0" w:line="6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Phase 3 studies for the delay or prevention of bone metastases in patients with adjuvant breast cancer and prevention of SREs in patients with multiple myeloma are ongoing. A phase 2 study in NSCLC is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Evolocumab</w:t>
      </w:r>
    </w:p>
    <w:p>
      <w:pPr>
        <w:spacing w:after="0" w:line="1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Evolocumab is a human monoclonal antibody that inhibits Proprotein Convertase Subtilisin/Kexin Type 9 (PCSK9). It is being investigated as a treatment for dyslipidemia.</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August 2014, we submitted a BLA to the FDA for evolocumab seeking approval for the treatment in high cholesterol and was accepted for review by the FDA in November 2014. In September 2014, our MAA submitted to the EMA was accepted for review.</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March and August 2014, we also announced results from two phase 3 lipid lowering clinical studies evaluating evolocumab in combination with statin therapy in Japanese patients and in homozygous familial hypercholesterolemia patients. Both studies met their co-primary endpoints.</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Additional phase 3 studies to evaluate evolocumab for cardiovascular outcomes, on cognitive function, in statin-intolerant subjects, in subjects with genetic low-density lipoprotein disorders, and with intravascular ultrasound are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Romosozumab</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Romosozumab is a humanized monoclonal antibody that inhibits the action of sclerostin. It is being investigated as a treatment for bone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Romosozumab is being developed in collaboration with UCB.</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8" w:right="2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Phase 3 studies for the treatment of postmenopausal women with osteoporosis are ongoing. A phase 3 study in male osteoporosis was initiated in 2014.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Talimogene laherparepvec</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Talimogene laherparepvec is an oncolytic immunotherapy derived from HSV-1. It is being investigated as a cancer treatment.</w:t>
      </w:r>
    </w:p>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BLA has been accepted for review by the FDA as has an MAA by the EMA for talimogene laherparepvec for the treatment of patients with regionally or distantly metastatic melanoma.</w:t>
      </w:r>
    </w:p>
    <w:p>
      <w:pPr>
        <w:spacing w:after="0" w:line="81"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In December 2014, we initiated a clinical trial to evaluate talimogene laherparepvec in combination with Merck's anti-PD-1 therapy, KEYTRUDA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(pembrolizumab), in patients with mid- to late-stage metastatic melanoma.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Trebananib</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Trebananib is a peptibody that inhibits Ang1 and Ang2. It is being investigated as a cancer treatment.</w:t>
      </w:r>
    </w:p>
    <w:p>
      <w:pPr>
        <w:spacing w:after="0" w:line="1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November 2014, we announced secondary endpoint results of overall survival from the phase 3 TRINOVA-1 trial in women with recurrent platinum-resistant ovarian cancer. While the primary endpoint of PFS was met, the secondary endpoint of overall survival was not met. Also in November 2014, we announced results of a second phase 3 study in recurrent ovarian cancer (with or without pegylated liposomal doxorubicin). The primary endpoint of PFS was not met. We have terminated the clinical development program in recurrent ovarian cancer.</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phase 3 study evaluating trebananib in the first-line setting of ovarian cancer is ongoing.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Vectibix</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human monoclonal antibody antagonist of the EGFr. It is being investigated as a cancer treatment.</w:t>
      </w:r>
    </w:p>
    <w:p>
      <w:pPr>
        <w:spacing w:after="0" w:line="64" w:lineRule="exact"/>
        <w:rPr>
          <w:sz w:val="20"/>
          <w:szCs w:val="20"/>
          <w:color w:val="auto"/>
        </w:rPr>
      </w:pPr>
    </w:p>
    <w:p>
      <w:pPr>
        <w:jc w:val="both"/>
        <w:ind w:firstLine="405"/>
        <w:spacing w:after="0" w:line="220" w:lineRule="auto"/>
        <w:rPr>
          <w:sz w:val="20"/>
          <w:szCs w:val="20"/>
          <w:color w:val="auto"/>
        </w:rPr>
      </w:pPr>
      <w:r>
        <w:rPr>
          <w:rFonts w:ascii="Times New Roman" w:cs="Times New Roman" w:eastAsia="Times New Roman" w:hAnsi="Times New Roman"/>
          <w:sz w:val="18"/>
          <w:szCs w:val="18"/>
          <w:color w:val="auto"/>
        </w:rPr>
        <w:t>In May 2014, we received FDA approval for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use in combination with FOLFOX, an oxaliplatin-based chemotherapy regimen, as first-line treatment in patients with wild-type KRAS (exon 2) mCRC. In addition, this approval converts the accelerated monotherapy approval to a full approval for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FDA also approved the therascreen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KRAS RGQ PCR Kit developed by QIAGEN (therascreen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KRAS test) as a companion diagnostic for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19"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A phase 3 study evaluating the survival benefit of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plus best supportive care (BSC) compared with BSC alone in subjects with chemorefractory, wild-type KRAS exon 2 mCRC is ongoing.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139</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AMG 139 is a human monoclonal antibody that inhibits the action of IL-23. It is being investigated as a treatment for Crohn’s disease, with a phase 2 study ongoing. AMG 139 is being jointly developed in collaboration with AstraZeneca.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157</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AMG 157 is a human monoclonal antibody that inhibits the action of TSLP. It is being investigated as a treatment for asthma, with a phase 2 study ongoing. AMG 157 is being jointly developed in collaboration with AstraZeneca.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181</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AMG 181 is a human monoclonal antibody that inhibits the action of alpha4/beta7. It is being investigated as a treatment for ulcerative colitis and Crohn's disease, with phase 2 studies ongoing. AMG 181 is being jointly developed in collaboration with AstraZeneca.</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334</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AMG 334 is a human monoclonal antibody that inhibits the receptor for Calcitonin Gene-Related Peptide. It is being investigated for the prevention of migraine. The phase 2 study in episodic migraine has completed while the phase 2 study in chronic migraine is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 337</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AMG 337 is a small molecule inhibitor of MET. It is being investigated as a cancer treatment with a phase 2 study for the treatment of gastric cancer ongoing.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Omecamtiv mecarbil</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Omecamtiv mecarbil is a small molecule activator of cardiac myosin. It is being investigated for the treatment of heart failure. We are developing this product in collaboration with Cytokinetics, Inc.</w:t>
      </w:r>
    </w:p>
    <w:p>
      <w:pPr>
        <w:spacing w:after="0" w:line="8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phase 2 dose escalation study to select and evaluate an oral modified release formulation of omecamtiv mecarbil in subjects with heart failure and left ventricular systolic dysfunction is ongoing.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Onyx Pharmaceuticals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Kyprolis</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novel proteasome inhibitor. It is being investigated as a treatment for patients with multiple myeloma and small-cell lung cancer.</w:t>
      </w:r>
    </w:p>
    <w:p>
      <w:pPr>
        <w:spacing w:after="0" w:line="6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color w:val="auto"/>
        </w:rPr>
        <w:t>In August 2014, we and Onyx announced that a planned interim analysis demonstrated that a phase 3 clinical trial in relapsed multiple myeloma (ASPIRE) met its primary endpoint of PFS. While the data for overall survival, a secondary endpoint, are not yet mature, the analysis showed a trend in favor of Kyprolis</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in combination with REVLIMID</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and low-dose dexamethasone that did not reach statistical significance.</w:t>
      </w: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August 2014, we and Onyx announced that the phase 3 clinical trial in relapsed/refractory multiple myeloma (FOCUS) did not meet its primary endpoint of improving overall survival.</w:t>
      </w:r>
    </w:p>
    <w:p>
      <w:pPr>
        <w:spacing w:after="0" w:line="81" w:lineRule="exact"/>
        <w:rPr>
          <w:sz w:val="20"/>
          <w:szCs w:val="20"/>
          <w:color w:val="auto"/>
        </w:rPr>
      </w:pPr>
    </w:p>
    <w:p>
      <w:pPr>
        <w:jc w:val="both"/>
        <w:ind w:firstLine="405"/>
        <w:spacing w:after="0" w:line="214" w:lineRule="auto"/>
        <w:rPr>
          <w:sz w:val="20"/>
          <w:szCs w:val="20"/>
          <w:color w:val="auto"/>
        </w:rPr>
      </w:pPr>
      <w:r>
        <w:rPr>
          <w:rFonts w:ascii="Times New Roman" w:cs="Times New Roman" w:eastAsia="Times New Roman" w:hAnsi="Times New Roman"/>
          <w:sz w:val="18"/>
          <w:szCs w:val="18"/>
          <w:color w:val="auto"/>
        </w:rPr>
        <w:t>In January 2015, we and Onyx announced the submission of a sNDA to the FDA and an MAA to the EMA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seek approval for the treatment of patients with relapsed multiple myeloma who have received at least one prior therapy. In the United States, the sNDA is designed to support the conversion of accelerated approval to full approval and expand the current approved indication. In the EU,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received orphan drug designation and the MAA has been granted accelerated assessment.</w:t>
      </w:r>
    </w:p>
    <w:p>
      <w:pPr>
        <w:spacing w:after="0" w:line="11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Phase 3 studies in combination with dexamethasone compared to bortezomib in combination with dexamethasone in relapsed multiple myeloma, and in combination with melphalan and prednisone compared to bortezomib, melphalan and prednisone in newly diagnosed multiple myeloma are ongoing.</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Oprozomib</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Oprozomib is an oral proteasome inhibitor. It is being investigated for the treatment of hematologic malignancies, with phase 1b/2 studies ongoing.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Development of Biosimilars</w:t>
      </w:r>
    </w:p>
    <w:p>
      <w:pPr>
        <w:spacing w:after="0" w:line="146"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We continue to collaborate with Actavis Inc. to develop and commercialize, on a worldwide basis, four oncology antibody biosimilar medicines. The products our collaboration is pursuing include biosimilar versions of bevacizumab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trastuzumab (Herceptin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rituximab (Rituxan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Mabthera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cetuximab (Erbitux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both"/>
        <w:ind w:right="20" w:firstLine="405"/>
        <w:spacing w:after="0" w:line="218" w:lineRule="auto"/>
        <w:rPr>
          <w:sz w:val="20"/>
          <w:szCs w:val="20"/>
          <w:color w:val="auto"/>
        </w:rPr>
      </w:pPr>
      <w:r>
        <w:rPr>
          <w:rFonts w:ascii="Times New Roman" w:cs="Times New Roman" w:eastAsia="Times New Roman" w:hAnsi="Times New Roman"/>
          <w:sz w:val="18"/>
          <w:szCs w:val="18"/>
          <w:color w:val="auto"/>
        </w:rPr>
        <w:t>We are also working to develop biosimilar versions of adalimumab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infliximab (REMICADE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addition to three other biosimilar molecules. Our biosimilar product candidates are in varying stages of regulatory development as described in the following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Biosimilar</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7480" w:type="dxa"/>
            <w:vAlign w:val="bottom"/>
            <w:tcBorders>
              <w:bottom w:val="single" w:sz="8" w:color="auto"/>
            </w:tcBorders>
          </w:tcPr>
          <w:p>
            <w:pPr>
              <w:spacing w:after="0"/>
              <w:rPr>
                <w:sz w:val="16"/>
                <w:szCs w:val="16"/>
                <w:color w:val="auto"/>
              </w:rPr>
            </w:pPr>
          </w:p>
        </w:tc>
      </w:tr>
      <w:tr>
        <w:trPr>
          <w:trHeight w:val="223"/>
        </w:trPr>
        <w:tc>
          <w:tcPr>
            <w:tcW w:w="3320" w:type="dxa"/>
            <w:vAlign w:val="bottom"/>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adalimumab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3 psoriasis study met primary endpoint</w:t>
            </w:r>
          </w:p>
        </w:tc>
      </w:tr>
      <w:tr>
        <w:trPr>
          <w:trHeight w:val="241"/>
        </w:trPr>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3</w:t>
            </w:r>
          </w:p>
        </w:tc>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 study met primary and key secondary endpoints</w:t>
            </w:r>
          </w:p>
        </w:tc>
      </w:tr>
      <w:tr>
        <w:trPr>
          <w:trHeight w:val="270"/>
        </w:trPr>
        <w:tc>
          <w:tcPr>
            <w:tcW w:w="33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trastuzumab (Herceptin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 3 breast cancer</w:t>
            </w:r>
          </w:p>
        </w:tc>
      </w:tr>
      <w:tr>
        <w:trPr>
          <w:trHeight w:val="270"/>
        </w:trPr>
        <w:tc>
          <w:tcPr>
            <w:tcW w:w="33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bevacizumab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3</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NSCLC</w:t>
            </w:r>
          </w:p>
        </w:tc>
      </w:tr>
      <w:tr>
        <w:trPr>
          <w:trHeight w:val="341"/>
        </w:trPr>
        <w:tc>
          <w:tcPr>
            <w:tcW w:w="3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infliximab (REMICADE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1</w:t>
            </w:r>
          </w:p>
        </w:tc>
        <w:tc>
          <w:tcPr>
            <w:tcW w:w="7480" w:type="dxa"/>
            <w:vAlign w:val="bottom"/>
          </w:tcPr>
          <w:p>
            <w:pPr>
              <w:spacing w:after="0"/>
              <w:rPr>
                <w:sz w:val="24"/>
                <w:szCs w:val="24"/>
                <w:color w:val="auto"/>
              </w:rPr>
            </w:pPr>
          </w:p>
        </w:tc>
      </w:tr>
      <w:tr>
        <w:trPr>
          <w:trHeight w:val="52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8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420"/>
          </w:cols>
          <w:pgMar w:left="240" w:top="57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From time to time, we enter into business relationships, including joint ventures and collaborative arrangements, for the R&amp;D, manufacture and/or commercialization of products and/or product candidates. In addition, we also acquire product and R&amp;D technology rights and establish R&amp;D collaborations with third parties to enhance our strategic position within our industry by strengthening and diversifying our R&amp;D capabilities, product pipeline and marketed product base. These arrangements generally provide for non-refundable, upfront license fees; development and commercial performance milestone payments; cost sharing; royalty payments and/or profit sharing. The activities under these collaboration agreements are performed with no guarantee of either technological or commercial success, and each is unique in nature.</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Trade secret protection for our unpatented confidential and proprietary information is important to us. To protect our trade secrets, we generally require counterparties to execute confidentiality agreements upon the commencement of the business relationship with us. However, others could either develop independently the same or similar information or unlawfully obtain access to our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Kirin-Amgen, Inc.</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Kirin-Amgen, Inc. (K-A) is a 50-50 joint venture with Kirin Holdings Company, Limited (Kirin). K-A develops and then out-licenses to third parties certain product rights which have been transferred to this joint venture from Amgen and Kirin.</w:t>
      </w:r>
    </w:p>
    <w:p>
      <w:pPr>
        <w:spacing w:after="0" w:line="81"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K-A has given us exclusive licenses to manufacture and market: (i) G-CSF and pegfilgrastim in the United States, Europe, Canada, Australia, New Zealand, all Central American, South American and African countries and certain countries in Asia and the Middle East; (ii) darbepoetin alfa, romiplostim and brodalumab in the United States, Europe, Canada, Australia, New Zealand, Mexico, all Central and South American countries and certain countries in Central Asia, Africa and the Middle East; and (iii) recombinant human erythropoietin in the United States. We currently market pegfilgrastim, G-CSF, darbepoetin alfa, recombinant human erythropoietin and romiplostim under the brand names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/GRANULOKINE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respectively. Under these agreements, we pay K-A royalties based on product sales. In addition, we also receive payments from K-A for milestones earned and for conducting certain R&amp;D activities on its behalf. See Part IV—Note 8, Related party transactions, to the Consolidated Financial Statements.</w:t>
      </w:r>
    </w:p>
    <w:p>
      <w:pPr>
        <w:spacing w:after="0" w:line="123"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K-A has also given Kirin exclusive licenses to manufacture and market: (i) G-CSF and pegfilgrastim in Japan, Taiwan and South Korea; (ii) darbepoetin alfa, romiplostim and brodalumab in Japan, China, Taiwan, South Korea and in certain other countries and/or regions in Asia; and (iii) recombinant human erythropoietin in Japan. K-A also gave Kirin and Amgen co-exclusive licenses to manufacture and market G-CSF, pegfilgrastim and recombinant human erythropoietin in China, which Amgen subsequently assigned to Kirin, and as a result, Kirin now exclusively manufactures and markets G-CSF and recombinant human erythropoietin in China. Kirin markets G-CSF, pegfilgrastim, darbepoetin alfa, romiplostim and recombinant human erythropoietin under the brand names GRAN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/Grasin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Peglasta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/G-Lasta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ROMIPLATE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ESPO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respectively. Under these agreements, Kirin pays K-A royalties based on product sales. In addition, Kirin also receives payments from K-A for conducting certain R&amp;D activities on its behalf.</w:t>
      </w:r>
    </w:p>
    <w:p>
      <w:pPr>
        <w:spacing w:after="0" w:line="11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K-A has also given J&amp;J exclusive licenses to manufacture and market recombinant human erythropoietin for all geographic areas of the world outside the United States, China and Japan. Under this agreement, J&amp;J pays royalties to K-A based on product sales. K-A gave Roche exclusive licenses to market filgrastim and pegfilgrastim in all territories not then licensed to Amgen and Kirin. Effective January 1, 2014, we acquired Roche’s licenses to market filgrastim and pegfilgrastim. See Part IV—Note 3, Business combinations, to the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Pfizer Inc.</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co-promotion term of our ENBREL collaboration agreement with Pfizer in the United States and Canada expired on October 31, 2013 giving us full ownership of ENBREL promotional rights in the United States and Canada while the rights to market ENBREL outside the United States and Canada are reserved to Pfizer. Under the collaboration agreement, Amgen and Pfizer shared in the agreed-upon selling and marketing expenses approved by a joint committee. We paid Pfizer a percentage of annual gross profits on our ENBREL sales in the United States and Canada on a scale that increased with gross profits; however, we maintained a majority share of ENBREL profits. We are required to pay Pfizer residual royalties based on a declining percentage of annual net ENBREL sales in the United States and Canada for three years, ranging from 12% to 10%. The amounts of such payments are significantly less than what was owed based on the terms of the previous ENBREL profit share. Effective November 1, 2016, there will be no further royalty payments.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Bayer HealthCare Pharmaceuticals Inc.</w:t>
      </w:r>
    </w:p>
    <w:p>
      <w:pPr>
        <w:spacing w:after="0" w:line="146" w:lineRule="exact"/>
        <w:rPr>
          <w:sz w:val="20"/>
          <w:szCs w:val="20"/>
          <w:color w:val="auto"/>
        </w:rPr>
      </w:pPr>
    </w:p>
    <w:p>
      <w:pPr>
        <w:jc w:val="both"/>
        <w:ind w:firstLine="405"/>
        <w:spacing w:after="0" w:line="216" w:lineRule="auto"/>
        <w:rPr>
          <w:sz w:val="20"/>
          <w:szCs w:val="20"/>
          <w:color w:val="auto"/>
        </w:rPr>
      </w:pPr>
      <w:r>
        <w:rPr>
          <w:rFonts w:ascii="Times New Roman" w:cs="Times New Roman" w:eastAsia="Times New Roman" w:hAnsi="Times New Roman"/>
          <w:sz w:val="18"/>
          <w:szCs w:val="18"/>
          <w:color w:val="auto"/>
        </w:rPr>
        <w:t>As a result of our acquisition of Onyx, we are party to a collaboration with Bayer HealthCare Pharmaceuticals Inc. (Bayer) to jointly develop and commercialize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(sorafenib) worldwide, except in Japan. The rights to develop and market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 are reserved to Bayer. Bayer has no obligation to pay royalties to Amgen for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 Under the agreements, we fund 50% of mutually agreed R&amp;D costs. In the United States we co-promote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with Bayer and share equally in the profits or losses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Outside of the United States, excluding Japan, Bayer manages all commercialization activities and incurs all of the sales and marketing expenditures, and we reimburse Bayer for half of those expenditures. In all countries outside of the United States, except Japan, we receive 50% of net profits on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after deducting certain Bayer-related costs.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Plc.</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 a collaboration with AstraZeneca to jointly develop and commercialize certain monoclonal antibodies from Amgen's clinical inflammation portfolio, including brodalumab, AMG 139, AMG 157, AMG 181, AMG 557 and AMG 570. The agreement covers the worldwide development and commercialization of these antibodies, except for certain Asian countries for brodalumab and Japan for AMG 557 and AMG 570, which are licensed to other third parties.</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approximately 65% of related development costs for the 2012-2014 periods were funded by AstraZeneca; now, the companies share costs equally. If approved for sale, Amgen would receive a low-single-digit royalty rate for brodalumab and a mid-single-digit royalty rate for the rest of the portfolio, after which the worldwide commercialization profits and losses related to the collaboration products would be shared equally.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UCB</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 a collaboration with UCB for the development and commercialization of romosozumab. Under the agreement, we received the rights to commercialize romosozumab for all indications in the United States, Canada, Mexico and Japan. UCB has the rights for all EU members at the time of first regulatory approval, Australia and New Zealand. Prior to commercialization, countries that have not been initially designated will be designated to Amgen or UCB in accordance with the terms of the agreement.</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Generally, development costs are shared equally and we will share equally in the worldwide commercialization profits and losses related to the collaboration after accounting for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DaVita Inc.</w:t>
      </w:r>
    </w:p>
    <w:p>
      <w:pPr>
        <w:spacing w:after="0" w:line="146"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We are in a seven-year supply agreement with DaVita that commenced January 1, 2012. Pursuant to this agreement, we will supply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amounts necessary to meet no less than 90% of DaVita's and its affiliates' requirements for ESAs used in providing dialysis services in the United States and Puerto Rico. The agreement may be terminated by either party before expiration of its term in the event of certain breaches of the agreement by the other party.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Amgen had approximately 17,900 staff members. This number includes staff members expected to leave during 2015 in connection with the restructuring plan announced during the second half of 2014, including the closure of facilities. We consider our staff relations to be good.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executive officers of the Company as of February 12, 2015 are set forth below.</w:t>
      </w:r>
    </w:p>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Mr. Robert A. Bradway, age 52, has served as a director of the Company since October 2011 and Chairman of the Board of Directors since January 1, 2013. Mr. Bradway has been the Company’s President since May 2010 and Chief Executive Officer since May 2012. From May 2010 to May 2012, Mr. Bradway served as the Company’s President and Chief Operating Officer. Mr. Bradway joined the Company in 2006 as Vice President, Operations Strategy and served as Executive Vice President and Chief Financial Officer from April 2007 to May 2010. Prior to joining the Company, he was a Managing Director at Morgan Stanley in London where he had responsibility for the firm’s banking department and corporate finance activities in Europe and focused on healthcare. Mr. Bradway has been a director of Norfolk Southern Corporation, a transportation company, since July 2011.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8" w:right="239" w:bottom="1440" w:gutter="0" w:footer="0" w:header="0"/>
        </w:sectPr>
      </w:pPr>
    </w:p>
    <w:bookmarkStart w:id="23" w:name="page24"/>
    <w:bookmarkEnd w:id="23"/>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Mr. Madhavan (“Madhu”) Balachandran, age 64, became Executive Vice President, Operations in August 2012. Mr. Balachandran joined the Company in 1997 and has held leadership positions in engineering, information systems and operations. From October 2007 to August 2012, Mr. Balachandran was Senior Vice President, Manufacturing. From February 2007 to October 2007, Mr. Balachandran was Vice President, Site Operations. From May 2002 to February 2007, Mr. Balachandran was Vice President, Puerto Rico Operations. Prior to 2002, Mr. Balachandran served as Associate Director Capital Projects before his promotion to Director Engineering and then to Vice President, Information Management. Previously, Mr. Balachandran served as Vice President, Engineering at Burroughs Wellcome &amp; Company.</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Dr. Sean E. Harper, age 52, became Executive Vice President, Research and Development in February 2012. Dr. Harper joined the Company in 2002, and has held leadership roles in early development, medical sciences and global regulatory and safety. Dr. Harper served as Senior Vice President, Global Development and Corporate Chief Medical Officer from March 2007 to February 2012. Prior to joining the Company, Dr. Harper worked for five years at Merck Research Laboratories.</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Mr. Anthony C. Hooper, age 60, became Executive Vice President, Global Commercial Operations in October 2011. From March 2010 to October 2011, Mr. Hooper was Senior Vice President, Commercial Operations and President, U.S., Japan and Intercontinental of BMS. From January 2009 to March 2010, Mr. Hooper was President, Americas of BMS. From January 2004 to January 2009, Mr. Hooper was President, U.S. Pharmaceuticals, Worldwide Pharmaceuticals Group, a division of BMS. Prior to this, Mr. Hooper held various senior leadership positions at BMS. Prior to joining BMS, Mr. Hooper was Assistant Vice President of Global Marketing for Wyeth Laboratories.</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Mr. Brian McNamee, age 58, became Executive Vice President, Full Potential Initiatives in October 2013. Mr. McNamee joined the Company in June 2001 as Senior Vice President, Human Resources. From November 1999 to June 2001, Mr. McNamee served as Vice President of Human Resources at Dell Computer Corp. From 1998 to 1999, Mr. McNamee served as Senior Vice President, Human Resources for the National Broadcasting Corporation, a division of the General Electric Company. From July 1988 to November 1999, Mr. McNamee held human resources positions at General Electric.</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Mr. David W. Meline, age 57, became Executive Vice President and Chief Financial Officer in July 2014. From April 2011 to July 2014, Mr. Meline served as Senior Vice President and Chief Financial Officer at 3M Company. From September 2008 to March 2011, Mr. Meline served as Vice President, Corporate Controller and Chief Accounting Officer of 3M. Prior to 2008, Mr. Meline served in a variety of senior leadership roles for General Motors Company for over 20 years, with his last position being Vice President and Chief Financial Officer, North America. Mr. Meline has been a director of TRW Automotive Holdings, Corp., a supplier of automotive systems, modules and components, since February 2014.</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Ms. Cynthia M. Patton, age 53, became Senior Vice President and Chief Compliance Officer in October 2012. Ms. Patton joined the Company in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July 2005 to September 2010, Ms. Patton was Associate General Counsel. From September 2010 to October 2012, Ms. Patton was Vice President,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Ms. Patton served as Senior Vice President, General Counsel and Secretary of SCAN Health Plan from 1999 to 2005.</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Mr. David A. Piacquad, age 58, became Senior Vice President, Business Development in March 2014. Mr. Piacquad joined the Company in June 2010. From June 2010 to January 2014, Mr. Piacquad served as Vice President, Strategy and Corporate Development. From January 2014 to March 2014, Mr. Piacquad served as Vice President, Business Development. Prior to joining the Company, from December 2009 to June 2010, Mr. Piacquad was Principal of David A. Piacquad Consulting LLC. From March 2006 to December 2009, Mr. Piacquad served as Senior Vice President, Business Development and Licensing for Schering-Plough Corporation. Prior to Schering-Plough, Mr. Piacquad served in a series of leadership roles in finance and business development at J&amp;J, with his last position being Vice President, Ventures and Business Development.</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Mr. David J. Scott, age 62, became Senior Vice President, General Counsel and Secretary in March 2004. From May 1999 to February 2004, Mr. Scott served as Senior Vice President and General Counsel of Medtronic, Inc. and also as Secretary from January 2000. From December 1997 to April 1999, Mr. Scott served as General Counsel of London-based United Distillers &amp; Vintners. Mr. Scott also served in executive roles at Grand Metropolitan plc and RJR Nabisco, Inc., and was an attorney in private practice. Mr. Scott has notified the Company that he intends to retire at the end of May 2015.</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Dr. Stuart A. Tross, age 48, became Senior Vice President, Human Resources in October 2013. Dr. Tross joined the Company in April 2006 as Vice President, Human Resources. Prior to joining Amgen, from November 1998 to April 2006, Dr. Tross served in a series of roles for BMS, with his last position being Vice President and Global Head of Human Resources of Mead Johnson Nutrition. Prior to joining BMS, Dr. Tross was a management consultant for Towers Perrin.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 Financial Information</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financial information concerning the geographic areas in which we operate, see Part IV—Note 19, Segment information—Geographic information, to the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public reference room at 100 F Street NE, Washington, DC 20549, or at the SEC’s internet address at www.sec.gov. These website addresses are not intended to function as hyperlinks, and the information contained in our website and in the SEC’s website is not intended to be a part of this filing. Information related to the operation of the SEC’s public reference room may be obtained by calling the SEC at 800-SEC-0330.</w:t>
      </w:r>
    </w:p>
    <w:p>
      <w:pPr>
        <w:spacing w:after="0" w:line="26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facing our business. The risks described below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current products and products in development cannot be sold without regulatory approval.</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business is subject to extensive regulation by numerous state and federal governmental authorities in the United States, including the FDA, and by foreign regulatory authorities, including the EMA. We are required in the United States and in foreign countries to obtain approval from regulatory authorities before we can manufacture, market and sell our products. Once approved, the FDA and other U.S. and foreign regulatory agencies have substantial authority to require additional testing, perform inspections, change product labeling or mandate withdrawals of our products. Failure to comply with applicable regulatory requirements may subject us to administrative and/or judicially imposed sanctions. The sanctions could include the FDA’s or foreign regulatory authorities’ refusal to approve pending applications, delays in obtaining or withdrawals of approvals, delay or suspension of clinical trials, warning letters, product recalls, product seizures, total or partial suspension of our operations, injunctions, fines, civil penalties and/or criminal prosecution.</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has been and will continue to be increasingly difficult, time-consuming and costly. There may be situations in which demonstrating the efficacy and safety of a product candidate may not be sufficient to gain regulatory approval unless superiority to comparative products can be shown. Also, legislative bodies or regulatory agencies could enact new laws or regulations or change existing laws or regulations at any time, which could affect our ability to obtain or maintain approval of our products or product candidates. For example, the EU recently finalized legislation, which will apply as early as mid-2016, related to the conduct of clinical trials. While the aim of the new legislation is improvement in operational efficiency and a streamlining of the overall clinical trial authorization process, the new requirements also provide for increased transparency of clinical trial results and submission of quality data relating to the products and product candidates used for such trials. Starting in 2015, the EMA will make certain clinical trial reports publicly available, which may limit our ability to protect competitively-sensitive information contained in our clinical trial reports. Failure to comply with new laws or regulations could result in significant monetary penalties as well as reputational and other harms. We are unable to predict when and whether any further changes to laws or regulatory policies affecting our business could occur, such as efforts to reform medical device regulation or the pedigree requirements for medical products or to implement new requirements for combination products, and whether such changes could have a material adverse effect on our business and results of operations.</w:t>
      </w:r>
    </w:p>
    <w:p>
      <w:pPr>
        <w:spacing w:after="0" w:line="1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Regulatory authorities may also question the sufficiency for approval of the endpoints we select for our clinical trials. For example, questions remain about regulatory authorities’ views regarding the adequacy for approval of therapeutic oncology products that have demonstrated a statistically significant improvement in endpoints such as PFS or Durable Response Rate (DRR) but have not shown a statistically significant improvement in overall survival. A number of our products and product candidates have been evaluated in clinical trials using endpoints other than overall survival, such as PFS, DRR, and bone-metastasis-free survival (BMFS). The use of endpoints such as PFS, DRR, or BMFS, in the absence of other measures of clinical benefit, may not be sufficient for approval even when such results are statistically significant. Regulatory authorities could also add new requirements, such as the completion of an outcomes study or a meaningful portion of an outcomes study, as conditions for obtaining approval or obtaining an indication. The imposition of additional requirements may delay our clinical development and regulatory filing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efforts, and delay or prevent us from obtaining regulatory approval for new product candidates, new indications for existing products or maintenance of our current labels.</w:t>
      </w:r>
    </w:p>
    <w:p>
      <w:pPr>
        <w:spacing w:after="0" w:line="81"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Some of our products are approved by U.S. and foreign regulatory authorities on a conditional basis with full approval conditioned upon fulfilling the requirements of regulators. For example, in July 2012 our subsidiary Onyx Pharmaceuticals received accelerated approval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with full approval conditioned on us conducting additional clinical trials of the use of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a therapy in treating multiple myeloma. Regulatory authorities are placing greater focus on monitoring products originally approved on an accelerated or conditional basis and on whether the sponsors of such products have met the conditions of the accelerated or conditional approvals. If we are unable to fulfill the requirements of regulators that were conditions of our products' accelerated or conditional approval and/or if regulators re-evaluate the data or risk-benefit profile of our product in connection with a renewal assessment, our conditional approval may be revoked or not renewed or we may not receive full approval for these products or may be required to change the products' labeled indications or even withdraw the products from the market.</w:t>
      </w:r>
    </w:p>
    <w:p>
      <w:pPr>
        <w:spacing w:after="0" w:line="12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Safety problems or signals can arise as our products and product candidates are evaluated in clinical trials, including investigator sponsored studies, or as our marketed products are used in clinical practice. We are required to continuously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2012, pharmacovigilance legislation became effective in the EU that enhanced the authority of European regulators to require companies to conduct additional post-approval clinical efficacy and safety studies and increased the requirement on sponsor companies to analyze and evaluate the risk-benefit profiles of their products. If regulatory agencies determine that we or other parties (including our clinical trial investigators or licensees of our products) have not complied with the applicable reporting or other pharmacovigilance requirements, we may become subject to additional inspections, warning letters or other enforcement actions, including monetary fines, marketing authorization withdrawal and other penalties. Our product candidates and marketed products can also be affected by safety problems or signals occurring with respect to products that are similar to ours and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spacing w:after="0" w:line="135" w:lineRule="exact"/>
        <w:rPr>
          <w:sz w:val="20"/>
          <w:szCs w:val="20"/>
          <w:color w:val="auto"/>
        </w:rPr>
      </w:pPr>
    </w:p>
    <w:p>
      <w:pPr>
        <w:ind w:left="720" w:hanging="307"/>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or restrictive labeling for our products;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of risk management activities or other regulatory agency compliance actions related to the promotion and sale of our products;</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post-marketing commitments or pharmacovigilance programs for our approved products;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of our approved products;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approval for our products from the market completely, or within particular therapeutic areas or patient types;</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timelines or delays in being approved by the FDA or other regulatory bodies; and/or</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treatments or product candidates being approved by regulatory bodies.</w:t>
      </w:r>
    </w:p>
    <w:p>
      <w:pPr>
        <w:spacing w:after="0" w:line="15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example, beginning in 2006, adverse safety results involving ESAs were observed and since that time our ESAs have been the subject of ongoing review and scrutiny. Reviews by regulatory authorities of the risk-benefit profile of ESAs has resulted in changes to ESA labeling and usage in both the oncology and nephrology clinical settings.</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our innovative products, we are working to develop and commercialize biosimilar versions of nine products currently manufactured, marketed and sold by other pharmaceutical companies. (See Item 1. Business—Research and Development and Selected Product Candidates—Amgen Development of Biosimilars.) In many markets there is not yet a legislative or regulatory pathway for the approval of biosimilars. In the United States, the ACA provided for such a pathway; while the FDA is working to implement it, significant questions remain as to how products will be approved under the pathway. (See We expect to face increasing competition from biosimilars.) Delays or uncertainties in the development of such pathways could result in delays or difficulties in getting our products approved by regulatory authorities, subject us to unanticipated development costs or otherwise reduce the value of the investments we have made in the biosimilars area. Additionally, biosimilar products may be subject to patent dispute resolution and/or patent infringement litigation, which could delay or prevent the commercial launch of a product.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i w:val="1"/>
          <w:iCs w:val="1"/>
          <w:color w:val="auto"/>
        </w:rPr>
        <w:t>Some of our products are used with drug delivery or companion diagnostic devices which have their own regulatory, manufacturing and other risks.</w:t>
      </w:r>
    </w:p>
    <w:p>
      <w:pPr>
        <w:spacing w:after="0" w:line="14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Some of our products or product candidates may be used in combination with a drug delivery device, such as an injector or other delivery system. Our product candidates or expanded indications of our products used with such drug delivery devices may not be approved or may be substantially delayed in receiving regulatory approval if such devices do not gain or maintain regulatory approval or clearance. Where approval of the product and device is sought under a single marketing drug application, the increased complexity of the review process may also delay receipt of regulatory approval. In addition, some of these drug delivery devices may be provided by single-source unaffiliated third-party companies. We are dependent on the sustained cooperation and effort of those third-party companies both to supply the devices and, in some cases, to conduct the studies required for approval or clearance by the applicable regulatory agencies. We are also dependent on those third-party companies continuing to meet the applicable regulatory and other requirements to maintain that approval or clearance once it has been received. Failure to successfully develop or supply the devices, delays in or failure of the Amgen or third-party studies, or failure of Amgen or the third-party company to obtain or maintain regulatory approval or clearance of the devices could result in increased development costs, delays in or failure to obtain regulatory approval and/or associated delays in a product candidate reaching the market or the expansion of existing product labels for new indications.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Similarly, some of our products or product candidates may be used in combination with an in vitro companion diagnostic device, such as a test kit. In some cases, our product candidates or expanded indications of our products used with in vitro companion diagnostic devices may not be approved or may be substantially delayed in receiving regulatory approval if such devices do not gain or maintain regulatory approval or clearance. As with drug delivery devices used with our products, our ability to get and maintain the necessary regulatory approvals for our products or product candidates used with in vitro companion diagnostic devices can be substantially dependent on whether the manufacturers of such devices meet their contractual responsibilities to us and/or their obligations to regulatory authorities. Failures by these manufacturers can also result in the significant delays and added costs described above, or even result in the removal of our product from the market.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 may not be able to develop commercial products.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invests heavily in R&amp;D. Successful product development in the biotechnology industry is highly uncertain, and very few R&amp;D projects produce a commercial product. Product candidates (including biosimilar product candidates) or new indications for existing products (collectively, “product candidates”) that appear promising in the early phases of development may fail to reach the market for a number of reasons, such as:</w:t>
      </w:r>
    </w:p>
    <w:p>
      <w:pPr>
        <w:spacing w:after="0" w:line="95" w:lineRule="exact"/>
        <w:rPr>
          <w:sz w:val="20"/>
          <w:szCs w:val="20"/>
          <w:color w:val="auto"/>
        </w:rPr>
      </w:pPr>
    </w:p>
    <w:p>
      <w:pPr>
        <w:ind w:left="660" w:right="20" w:hanging="247"/>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did not demonstrate acceptable clinical trial results even though it demonstrated positive preclinical trial results, for reasons that could include changes in the standard of care of medicine;</w:t>
      </w:r>
    </w:p>
    <w:p>
      <w:pPr>
        <w:spacing w:after="0" w:line="8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was not effective or more effective than currently available therapies in treating a specified condition or illness;</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is not cost effective in light of existing therapeutics;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had harmful side effects in humans or animals;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FDA or EMA, did not approve our product candidate for an intended use;</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was not economical for us to manufacture and commercialize;</w:t>
      </w:r>
    </w:p>
    <w:p>
      <w:pPr>
        <w:spacing w:after="0" w:line="157"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biosimilar product candidate fails to demonstrate the requisite biosimilarity to the applicable reference product, or is otherwise determined to be unacceptable for purposes of safety or efficacy, to gain approval;</w:t>
      </w:r>
    </w:p>
    <w:p>
      <w:pPr>
        <w:spacing w:after="0" w:line="80" w:lineRule="exact"/>
        <w:rPr>
          <w:rFonts w:ascii="Times New Roman" w:cs="Times New Roman" w:eastAsia="Times New Roman" w:hAnsi="Times New Roman"/>
          <w:sz w:val="18"/>
          <w:szCs w:val="18"/>
          <w:color w:val="auto"/>
        </w:rPr>
      </w:pPr>
    </w:p>
    <w:p>
      <w:pPr>
        <w:ind w:left="660" w:hanging="247"/>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have or may have proprietary rights relating to our product candidate, such as patent rights, and will not let us sell it on reasonable terms, or at all;</w:t>
      </w:r>
    </w:p>
    <w:p>
      <w:pPr>
        <w:spacing w:after="0" w:line="80"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licensees, partners or independent investigators may fail to effectively conduct clinical development or clinical manufacturing activities; and</w:t>
      </w:r>
    </w:p>
    <w:p>
      <w:pPr>
        <w:spacing w:after="0" w:line="107"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to approval for product candidates is uncertain or not well-defined.</w:t>
      </w:r>
    </w:p>
    <w:p>
      <w:pPr>
        <w:spacing w:after="0" w:line="15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Several of our product candidates have failed or been discontinued at various stages in the product development process. Inability to bring a product to market or a significant delay in the expected approval and related launch date of a new product for any of the reasons discussed could potentially have a negative impact on our net sales and earnings and could result in a significant impairment of in-process research and development (IPR&amp;D) or other intangible assets.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8" w:right="2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i w:val="1"/>
          <w:iCs w:val="1"/>
          <w:color w:val="auto"/>
        </w:rPr>
        <w:t>We must conduct clinical trials in humans before we can commercialize and sell any of our product candidates or existing products for new indications.</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Before we can sell any products, we must conduct clinical trials to demonstrate that our product candidates are safe and effective for use in humans. The results of those clinical trials are used as the basis to obtain approval from regulatory authorities such as the FDA and EMA. (See Our current products and products in development cannot be sold without regulatory approval.) We are required to conduct clinical trials using an appropriate number of trial sites and patients to support the product label claims. The length of time, number of trial sites and patients required for clinical trials vary substantially and therefore, we may spend several years and incur substantial expense in completing certain clinical trials. We may have difficulty finding a sufficient number of clinical trial sites and subjects to participate in our clinical trials, particularly if competitors are conducting clinical trials in similar patient populations. Delays in planned clinical trials can result in increased development costs, delays in regulatory approvals, associated delays in product candidates reaching the market and revisions to existing product labels.</w:t>
      </w:r>
    </w:p>
    <w:p>
      <w:pPr>
        <w:spacing w:after="0" w:line="10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in order to increase the number of patients available for enrollment for our clinical trials, we have and will continue to open clinical sites and enroll patients in a number of new geographic locations where our experience conducting clinical trials is more limited, including Russia, India, China, South Korea, the Philippines, Singapore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identify and understand the unique regulatory environments of individual countries. Further, we must ensure the timely production, distribution and delivery of the clinical supply of our product candidates to the numerous and varied clinical trial sites. If we fail to adequately manage the design, execution and diverse regulatory aspects of our large and complex clinical trials or manage the production or distribution of our clinical supply, corresponding regulatory approvals may be delayed or we may fail to gain approval for our product candidates or could lose our ability to market existing products in certain therapeutic areas or altogether. If we are unable to market and sell our product candidates or to obtain approvals in the timeframe needed to execute our product strategies, our business and results of operations could be materially and adversely affected.</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rely on independent third-party clinical investigators to recruit subjects and conduct clinical trials on our behalf in accordance with the applicable study protocols and laws and regulations. Further, we rely on unaffiliated third-party vendors to perform certain aspects of our clinical trial operations. We also may acquire companies that have ongoing clinical trials. These trials may not be conducted to the same standards as ours; however, once an acquisition has been completed we assume responsibility for the conduct of the trial, including any potential risks and liabilities associated with the past and prospective conduct of those trials. If regulatory authorities determine that we or others, including our licensees or the independent investigators selected by us or by a company we have acquired, have not complied with regulations applicable to the clinical trials, those authorities may refuse or reject some or all of the clinical trial data or take other actions which could impair our ability to obtain or maintain marketing approval of the product or indication. If we were unable to market and sell our products or product candidates, our business and results of operations could be materially and adversely affected.</w:t>
      </w:r>
    </w:p>
    <w:p>
      <w:pPr>
        <w:spacing w:after="0" w:line="1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some of our clinical trials involve drugs manufactured and marketed by other pharmaceutical companies. These drugs may be administered in a clinical trial in combination with one of our products or product candidates or in a head-to-head study comparing the products' or product candidates' relative efficacy and safety. In the event that any of these vendors or pharmaceutical companies have unforeseen issues that negatively impact the quality of their work or creates a shortage of supply, our ability to complete our applicable clinical trials and/or evaluate clinical results may also be negatively impacted. As a result, this could adversely affect our ability to timely file for, gain or maintain regulatory approvals worldwide.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Participants in clinical trials of our products and product candidates may also suffer adverse medical events or side effects that could:</w:t>
      </w:r>
    </w:p>
    <w:p>
      <w:pPr>
        <w:spacing w:after="0" w:line="171" w:lineRule="exact"/>
        <w:rPr>
          <w:sz w:val="20"/>
          <w:szCs w:val="20"/>
          <w:color w:val="auto"/>
        </w:rPr>
      </w:pPr>
    </w:p>
    <w:p>
      <w:pPr>
        <w:ind w:left="720" w:hanging="307"/>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the clinical trial program;</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or longer trials to gain approval;</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regulatory approval of our product candidates or new indications for existing products;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the product candidate commercially unfeasible or limit our ability to market existing products completely or in certain therapeutic areas.</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Clinical trials must be designed based on the current standard of medical care. However in certain diseases, such as cancer, the standard of care is evolving rapidly. In these diseases, the duration of time needed to complete certain clinical trials may result in the design of such clinical trials being based on standards of medical care that are no longer the current standards when such trials are completed, limiting the utility and application of such trials. We may not obtain favorable clinical trial results and therefore may not be able to obtain regulatory approval for new product candidates, new indications for existing products or maintenance of our current product labels.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8" w:right="239" w:bottom="1440" w:gutter="0" w:footer="0" w:header="0"/>
        </w:sectPr>
      </w:pPr>
    </w:p>
    <w:bookmarkStart w:id="28" w:name="page29"/>
    <w:bookmarkEnd w:id="28"/>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Even after a product is on the market, safety concerns may require additional or more extensive clinical trials as part of a risk management plan for our product or for approval of a new indication. For example, in connection with the June 2011 ESA label changes, we also agreed to conduct additional clinical trials examining the use of ESAs in CKD. Additional clinical trials we initiate, including those required by the FDA, could result in substantial additional expense and the outcomes could result in additional label restrictions or the loss of regulatory approval for an approved indication, each of which could have a material adverse effect on the sales of our products, our business and results of operations. Additionally, any negative results from such trials could materially affect the extent of approvals, the use, reimbursement and sales of our products.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 expect to face increasing competition from biosimilars.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currently face competition in Europe from biosimilars, and we expect to face increasing competition from biosimilars in the future. To the extent that governments adopt more permissive approval frameworks and competitors are able to obtain broader marketing approval for biosimilars, our products will become subject to increased competition. Expiration or successful challenge of applicable patent rights could trigger such competition, and we could face more litigation regarding the validity and/or scope of our patents. Our products may also experience greater competition from lower-cost biosimilars that come to market as branded products that compete with our products lose patent protection.</w:t>
      </w:r>
    </w:p>
    <w:p>
      <w:pPr>
        <w:spacing w:after="0" w:line="1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EU, the EC has granted marketing authorizations for several biosimilars pursuant to a set of general and product class-specific guidelines for biosimilar approvals issued since 2005. In addition, in an effort to spur biosimilar utilization and/or increase potential healthcare savings, some European countries, such as France, have considered and may adopt biosimilar uptake measures such as requiring physician prescribing quotas or automatic substitution by pharmacists of biosimilars for the corresponding reference products. Some EU countries may impose automatic price reductions upon market entry of the second or third biosimilar competitor. We cannot predict to what extent the entry of biosimilars or other competing products will impact future sales of our products in the EU. Our inability to compete effectively could reduce sales, which could have a material adverse effect on our business and results of operations.</w:t>
      </w:r>
    </w:p>
    <w:p>
      <w:pPr>
        <w:spacing w:after="0" w:line="108"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In the United States, the ACA authorized the FDA to approve biosimilars via a separate, abbreviated pathway. (See Item 1. Business—Government Regulation—Regulation in the United States—Approval of Biosimilars.) A growing number of companies have announced their intentions to develop biosimilar versions of existing biotechnology products, including a number of our products as well as the biosimilars we are working to develop. Four manufacturers have announced the filing of five separate marketing applications to the FDA under the biosimilar pathway. These marketing applications include two for filgrastim, one for pegfilgrastim, and one for epoetin alfa, which if approved would compete with our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respectively. Initial FDA approvals for the first U.S. biosimilars may occur as early as 2015. Further, other biosimilar manufacturers with approved products in Europe may seek to obtain U.S. approval now that the regulatory pathway for biosimilars has been enacted. The U.S. pathway includes the option for biosimilar products meeting certain criteria to be approved as interchangeable with their reference products. Some companies currently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seek to shorten the data exclusivity period and/or to encourage the FDA to interpret narrowly the law's provisions regarding which new products receive data exclusivity. While we are unable to predict the precise impact of the pending introduction of biosimilars on our products, we expect in the future to face greater competition in the United States as a result of biosimilars and downward pressure on our product prices and sales, subject to our ability to enforce our patents. This additional competition could have a material adverse effect on our business and results of operations.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products face substantial competition.</w:t>
      </w:r>
    </w:p>
    <w:p>
      <w:pPr>
        <w:spacing w:after="0" w:line="146"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We operate in a highly competitive environment. (See Item 1. Business—Competition.) In the future, we expect that our products will compete with new drugs 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are expanding into the biotechnology field, and some pharmaceutical companies and generics manufacturers have formed partnerships to pursue biosimilars. In addition, some of our competitors may have technical, competitive or other advantages over us for the development of technologies and processes or greater experience in particular therapeutic areas. These advantages may make it difficult for us to compete with them to successfully discover, develop and market new products and for our current products to compete with new products or new product indications that these competitors may bring to market. As a result, our products may compete against products that have lower prices, equivalent or superior performance, better safety profile, are easier to administer or that are otherwise competitive with our products. Our products may also experience greater competition from lower-cost biosimilars or generics that come to market as branded products that compete with our products lose their own patent protection. In November 2013, Teva launched short-acting Granix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U.S. to compete with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long-acting lipegfilgrastim in Europe to compete with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addition,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face competition from the launch of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In October 2014, pursuant to a December 2009 settlement agreement between Amgen and Roche, Roche began selling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33" w:lineRule="auto"/>
        <w:rPr>
          <w:sz w:val="20"/>
          <w:szCs w:val="20"/>
          <w:color w:val="auto"/>
        </w:rPr>
      </w:pPr>
      <w:r>
        <w:rPr>
          <w:rFonts w:ascii="Times New Roman" w:cs="Times New Roman" w:eastAsia="Times New Roman" w:hAnsi="Times New Roman"/>
          <w:sz w:val="18"/>
          <w:szCs w:val="18"/>
          <w:color w:val="auto"/>
        </w:rPr>
        <w:t>United States under the terms of a limited-license agreement. In addition, our product candidates may face competition from competing products that achieve earlier entry into the market. For example, several of our competitors are working to develop PCSK9 inhibitors at the same time we are developing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own PCSK9 inhibitor. If a competitor gains marketing approval for its PCSK9 inhibitor and launches its product prior to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receiving marketing approval, the competing product may have an advantage due to its earlier entry into the market.</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sales depend on coverage and reimbursement from third-party payers.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of our principal products are dependent on the availability and extent of coverage and reimbursement from third-party payers, including government healthcare programs and private insurance plans. Governments and private insurers have pursued, and continue to pursue, aggressive cost containment and utilization management initiatives, including increased focus on comparing the effectiveness, benefits and costs of similar treatments, which could result in lower reimbursement rates for our products or narrower populations for whom our products will be reimbursed by payers.</w:t>
      </w:r>
    </w:p>
    <w:p>
      <w:pPr>
        <w:spacing w:after="0" w:line="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 substantial portion of our U.S. business relies on reimbursement from U.S. federal government healthcare programs. Further, as the federal agency responsible for administering Medicare, Medicaid and the new Health Insurance Marketplaces (or “Exchanges”), CMS has substantial power to quickly implement policy changes that can significantly affect how our products are covered and reimbursed. Additionally, there is an increased focus in the United States on analyzing the impact of various government programs on the federal deficit, which has resulted in increased pressure on federal programs to reduce costs and could lead to lower payment rates for our products. Additionally, the implementation of ACA’s Exchanges could drive consolidation in the insurance industry. The resulting consolidated entities could have greater leverage in making coverage and reimbursement decisions and exert additional pressure on our ability to price and secure patient access for our products. Further, the current Exchange offerings tend to have very high deductibles and cost-sharing requirements for drugs. Access to our products may be affected by the structure and amount of patient out-of-pocket payments in both plans that operate in Exchanges and also commercial plans. Changes to those out-of-pocket payments, or limitations to payment assistance options, could have a material adverse effect on the sales of our products, our business and results of operations. Private payers, including healthcare insurers and pharmacy benefit managers, also continue to seek to reduce their costs. Healthcare insurers, pharmacy benefit managers and other payers may seek price discounts or rebates in connection with the placement of our products on their formularies or those they manage. They could also impose restrictions on access to our products or future products, and could even choose to exclude coverage entirely. Such discounts, rebates, restrictions or exclusions could materially and adversely affect sales of our affected products.</w:t>
      </w:r>
    </w:p>
    <w:p>
      <w:pPr>
        <w:spacing w:after="0" w:line="11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Outside the United States, we expect that countries will continue to take aggressive actions to reduce their healthcare expenditures. (See Item 1. Business—Reimbursement.) Any deterioration in the coverage and reimbursement available for our products or in the timeliness or certainty of payment by payers to physicians and other providers could negatively impact the ability or willingness of healthcare providers to prescribe our products for their patients or otherwise negatively affect the use of our products or the prices we receive for them. Such changes could have a material adverse effect on the sales of our products, our business and results of operations.</w:t>
      </w:r>
    </w:p>
    <w:p>
      <w:pPr>
        <w:spacing w:after="0" w:line="1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face risks relating to the reporting of pricing data that affects the U.S. reimbursement of and discounts for our products. Pricing data that we submit impacts the payment rates for providers, rebates we pay, and discounts we are required to provide under Medicare, Medicaid and other government drug programs, and the calculations are complex. Price reporting regulations require a manufacturer to update certain previously submitted data. Our price reporting data calculations are reviewed on a quarterly basis, and based on such reviews we have on occasion restated previously reported pricing data to reflect changes in calculation methodology, reasonable assumptions, and/or underlying data. If our submitted pricing data are incorrect, we may become subject to substantial fines and penalties or other government enforcement actions, which could have a material adverse impact on our business and results of operations. In addition, if our pricing calculations are incorrect, we also may be required to pay additional rebates and provide additional discounts.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 rely on third-party suppliers for certain of our raw materials, medical devices and components.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rely on unaffiliated third-party suppliers for certain raw materials, medical devices and components necessary for the manufacturing of our commercial and clinical products. Certain of those raw materials, medical devices and components are the proprietary products of those unaffiliated third-party suppliers and are specifically cited in our drug application with regulatory agencies so that they must be obtained from that specific sole source or sources and could not be obtained from another supplier unless and until the regulatory agency approved such supplier. Also, certain of the raw materials required in the commercial and clinical manufacturing of our products are sourced from other countries and/or derived from biological sources, including mammalian tissues, bovine serum and human serum albumin.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color w:val="auto"/>
        </w:rPr>
        <w:t>Among the reasons we may be unable to obtain these raw materials, medical devices and components include:</w:t>
      </w:r>
    </w:p>
    <w:p>
      <w:pPr>
        <w:spacing w:after="0" w:line="171" w:lineRule="exact"/>
        <w:rPr>
          <w:sz w:val="20"/>
          <w:szCs w:val="20"/>
          <w:color w:val="auto"/>
        </w:rPr>
      </w:pPr>
    </w:p>
    <w:p>
      <w:pPr>
        <w:ind w:left="720" w:hanging="30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or action by regulatory agencies or others;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financial or other strategic developments at or affecting the supplier;</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demand for or shortage of raw materials, medical devices or components;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our quality standards which results in quality and product failures, product contamination and/or recall;</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shortage, contamination, recall and/or restrictions on the use of certain biologically derived substances or other raw materials;</w:t>
      </w:r>
    </w:p>
    <w:p>
      <w:pPr>
        <w:spacing w:after="0" w:line="17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previously unknown or undetected imperfections in raw materials, medical devices or components; 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shortages, including the effects of a pandemic flu outbreak, natural disaster, or otherwise.</w:t>
      </w:r>
    </w:p>
    <w:p>
      <w:pPr>
        <w:spacing w:after="0" w:line="158"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These events could negatively impact our ability to satisfy demand for our products, which could materially and adversely affect our product use and sales and our business and operating results. For example, in prior years we have experienced shortages in certain components necessary for the formulation, fill and finish of certain of our products in our Puerto Rico facility. Further quality issues which result in unexpected additional demand for certain components may lead to shortages of required raw materials or components (such as we have experienced with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glass vials). We may experience or continue to experience these or other shortages in the future resulting in delayed shipments, supply constraints, contract disputes and/or stock-outs of our products. We continue to investigate alternatives to certain biological sources and alternative manufacturing processes that do not require the use of certain biologically derived substances because such raw materials may be subject to contamination and/or recall. However, any disruptions or delays by us or by third-party suppliers or partners in converting to alternatives to certain biologically derived substances and alternative manufacturing processes or our ability to gain regulatory approval for the alternative materials and manufacturing processes could increase our associated costs or result in the recognition of an impairment in the carrying value of certain related assets, which could have a material and adverse effect on our business and results of operations.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Manufacturing difficulties, disruptions or delays could limit supply of our products and limit our product sales.</w:t>
      </w:r>
    </w:p>
    <w:p>
      <w:pPr>
        <w:spacing w:after="0" w:line="146"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Manufacturing biologic human therapeutic products is difficult, complex and highly regulated. We currently are involved in the manufacture of all of our principal products and plan to manufacture many of our product candidates. In addition, we currently use third-party contract manufacturers to produce or assist in the production of ENBREL,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plan to use contract manufacturers to produce or assist in the production of a number of our late-stage product candidates. Our ability to adequately and timely manufacture and supply our products and product candidates is dependent on the uninterrupted and efficient operation of our facilities and those of our third-party contract manufacturers, which may be impacted by:</w:t>
      </w:r>
    </w:p>
    <w:p>
      <w:pPr>
        <w:spacing w:after="0" w:line="147" w:lineRule="exact"/>
        <w:rPr>
          <w:sz w:val="20"/>
          <w:szCs w:val="20"/>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of our facilities and those of our contract manufacturers;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by microorganisms or viruses, or foreign particles from the manufacturing process;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including hurricanes, earthquakes, volcanoes or fires;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shortages, including the effects of a pandemic flu outbreak, natural disaster, or otherwise;</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compliance with regulatory requirements;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forecasts of future demand;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actual number of production runs;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of manufacturing specifications;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success rates and yields;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disputes with our suppliers and contract manufacturers; 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outcome of product quality testing.</w:t>
      </w:r>
    </w:p>
    <w:p>
      <w:pPr>
        <w:spacing w:after="0" w:line="15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the efficient manufacture and supply of our products or product candidates is interrupted, we may experience delayed shipments, delays in our clinical trials, supply constraints, stock-outs and/or recalls of our products. Over the past several years we have initiated a number of voluntary recalls of certain lots of our products. For example, beginning in September 2010, we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30" w:lineRule="auto"/>
        <w:rPr>
          <w:sz w:val="20"/>
          <w:szCs w:val="20"/>
          <w:color w:val="auto"/>
        </w:rPr>
      </w:pPr>
      <w:r>
        <w:rPr>
          <w:rFonts w:ascii="Times New Roman" w:cs="Times New Roman" w:eastAsia="Times New Roman" w:hAnsi="Times New Roman"/>
          <w:sz w:val="18"/>
          <w:szCs w:val="18"/>
          <w:color w:val="auto"/>
        </w:rPr>
        <w:t>initiated a voluntary recall of certain lots of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J&amp;J voluntarily recalled certain lots of PROCRIT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manufactured by us, because a small number of vials in each lot were found to contain glass lamellae (extremely thin, barely visible glass flakes) which we believed was a result of the interaction of the product formulation with glass vials during the shelf life of the product. The recalls were executed in close cooperation with the FDA. As an additional example, in July 2014, we initiated a voluntary recall of an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lot distributed in the EU after particles were detected in a quality control sample following distribution of that lot. We may experience the same or other problems in the future, resulting in broader product recalls, adverse event trends, delayed shipments, supply constraints, contract disputes and/or stock-outs of our products. If we are at any time unable to provide an uninterrupted supply of our products to patients, we may lose patients and physicians may elect to prescribe competing therapeutics instead of our products, which could materially and adversely affect our product sales, business and results of operations.</w:t>
      </w:r>
    </w:p>
    <w:p>
      <w:pPr>
        <w:spacing w:after="0" w:line="123"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Our manufacturing processes and those of our third-party contract manufacturers must undergo regulatory approval processes and are subject to continued review by the FDA and other regulatory authorities. It can take longer than five years to build, validate and license a new manufacturing plant and it can take longer than three years to qualify and license a new contract manufacturer. Currently, we are completing the construction and qualification of a new formulation and filling facility at our Puerto Rico site, and we are modifying and expanding our recently acquired formulation, fill and finish manufacturing site in Ireland, both of which will require appropriate licensure by regulatory authorities. Additionally, in 2014 we completed construction of the planned monoclonal antibody manufacturing facility in Singapore. This Singapore facility will utilize a novel manufacturing technology that has not been previously approved by the FDA or other regulatory authorities. In 2014, we also announced plans to build an additional facility at the site in Singapore to enable the manufacture of the active pharmaceutical ingredient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These facilities in Singapore will also require licensure by various regulatory authorities. If we are unable to obtain needed licenses for any of these facilities on a timely basis, it could adversely affect our ability to achieve our planned risk mitigation and cost reductions which, as a result, could materially and adversely affect our product sales, business and results of operations.</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If regulatory authorities determine that we or our third-party contract manufacturers or certain of our third-party service providers have violated regulations or if they restrict, suspend or revoke our prior approvals, they could prohibit us from manufacturing our products or conducting clinical trials or selling our marketed products until we or the affected third-party contract manufacturers or third-party service providers comply, or indefinitely.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supply constraints, stock-outs and/or recalls of our products. Additionally, we distribute a substantial volume of our commercial products through our primary distribution centers in Louisville, Kentucky for the United States and in Breda, the Netherlands for Europe and much of the rest of the world. We also conduct all the labeling and packaging of our products distributed in Europe and much of the rest of the world in Breda, the Netherlands. Our ability to timely supply products is dependent on the uninterrupted and efficient operations of our distribution and logistics centers, our third-party logistics providers and our labeling and packaging facility in Breda. Further, we rely on commercial transportation for the distribution of our products to our customers which may be negatively impacted by natural disasters or security threats.</w:t>
      </w:r>
    </w:p>
    <w:p>
      <w:pPr>
        <w:spacing w:after="0" w:line="108"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i w:val="1"/>
          <w:iCs w:val="1"/>
          <w:color w:val="auto"/>
        </w:rPr>
        <w:t>We perform a substantial amount of our commercial manufacturing activities at our Puerto Rico manufacturing facility and a substantial amount of our clinical manufacturing activities at our Thousand Oaks, California manufacturing facility; if significant natural disasters or production failures occur at the Puerto Rico facility, we may not be able to supply these products or, at the Thousand Oaks facility, we may not be able to continue our clinical trials.</w:t>
      </w:r>
    </w:p>
    <w:p>
      <w:pPr>
        <w:spacing w:after="0" w:line="101" w:lineRule="exact"/>
        <w:rPr>
          <w:sz w:val="20"/>
          <w:szCs w:val="20"/>
          <w:color w:val="auto"/>
        </w:rPr>
      </w:pPr>
    </w:p>
    <w:p>
      <w:pPr>
        <w:jc w:val="both"/>
        <w:ind w:firstLine="405"/>
        <w:spacing w:after="0" w:line="217" w:lineRule="auto"/>
        <w:rPr>
          <w:sz w:val="20"/>
          <w:szCs w:val="20"/>
          <w:color w:val="auto"/>
        </w:rPr>
      </w:pPr>
      <w:r>
        <w:rPr>
          <w:rFonts w:ascii="Times New Roman" w:cs="Times New Roman" w:eastAsia="Times New Roman" w:hAnsi="Times New Roman"/>
          <w:sz w:val="18"/>
          <w:szCs w:val="18"/>
          <w:color w:val="auto"/>
        </w:rPr>
        <w:t>We currently perform all of the formulation, fill and finish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substantially all of the formulation, fill and finish operations for ENBREL at our manufacturing facility in Juncos, Puerto Rico. We also currently perform all of the bulk manufacturing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all of the purification of bulk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material and substantially all of the bulk manufacturing for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at this facility. We perform substantially all of the bulk manufacturing and formulation, fill and finish, and packaging for product candidates to be used in clinical trials at our manufacturing facility in Thousand Oaks, California. The global supply of our products and product candidates is significantly dependent on the uninterrupted and efficient operation of these facilities. A number of factors could materially and adversely affect our operations, including:</w:t>
      </w:r>
    </w:p>
    <w:p>
      <w:pPr>
        <w:spacing w:after="0" w:line="146" w:lineRule="exact"/>
        <w:rPr>
          <w:sz w:val="20"/>
          <w:szCs w:val="20"/>
          <w:color w:val="auto"/>
        </w:rPr>
      </w:pPr>
    </w:p>
    <w:p>
      <w:pPr>
        <w:ind w:left="720" w:hanging="307"/>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failures and/or other utility failures;</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failure or substandard performance of equipment;</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installation or operation of equipment;</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shortages, including the effects of a pandemic flu outbreak;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p>
      <w:pPr>
        <w:ind w:left="720" w:hanging="307"/>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third-party suppliers to provide raw materials and components; 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disasters, including hurricanes, earthquakes or fires.</w:t>
      </w:r>
    </w:p>
    <w:p>
      <w:pPr>
        <w:spacing w:after="0" w:line="158"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These or other problems may result in our being unable to supply our products, which could materially and adversely affect our product sales, business and operating results. Our Puerto Rico facility is also subject to the same difficulties, disruptions or delays in manufacturing experienced in our other manufacturing facilities. For example, the limited number of lots of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voluntarily recalled in 2010 were manufactured at our Puerto Rico facility. In future inspections, our failure to adequately address the FDA's expectations could lead to further inspections of the facility or regulatory actions. (See Manufacturing difficulties, disruptions or delays could limit supply of our products and limit our product sales.)</w:t>
      </w:r>
    </w:p>
    <w:p>
      <w:pPr>
        <w:spacing w:after="0" w:line="117"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Our efforts to acquire other companies or products and to integrate their operations may not be successful, and may result in costs, delays or failures to realize the benefits of the transactions.</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an ongoing process of evaluating potential merger, acquisition, partnering and in-license opportunities that we expect will contribute to our future growth and expand our geographic footprint, product offerings and/or our R&amp;D pipeline. Acquisitions may result in unanticipated costs, delays or other operational or financial problems related to integrating the acquired company and business with our company, which may result in the diversion of our management's attention from other business issues and opportunities. Failures or difficulties in integrating or retaining new personnel or in integrating the operations of the businesses that we acquire (including their technology, compliance programs, financial systems, distribution and general business operations and procedures), while preserving important R&amp;D, distribution, marketing, promotion and other relationships, may affect our ability to grow and may result in us incurring asset impairment or restructuring charges. For example, on October 1, 2013, we acquired Onyx, a biopharmaceutical company with several currently marketed products as well as pipeline candidates progressing through the development process and failures or difficulties in the integration of Onyx could result in a material adverse impact on our business and results of operations.</w:t>
      </w:r>
    </w:p>
    <w:p>
      <w:pPr>
        <w:spacing w:after="0" w:line="106"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Our intellectual property positions may be challenged, invalidated, circumvented or expire, or we may fail to prevail in present and future intellectual property litigation.</w:t>
      </w:r>
    </w:p>
    <w:p>
      <w:pPr>
        <w:spacing w:after="0" w:line="7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Third parties may challenge, invalidate or circumvent our patents and patent applications relating to our products, product candidates and technologies.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necessitate payment of a royalty or prevent us from commercializing these product candidates in certain territories. Patent disputes are frequent, costly and can preclude, delay or increase the cost of commercialization of products. We have been in the past, and may be in the future, involved in patent litigation.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may not discourage a potential violator from bringing the product that is alleged to infringe to market prior to a final resolution of the dispute or litigation. The period of time from inception until resolution of a patent dispute or litigation is subject to the availability and schedule of the court, agency or tribunal before which the dispute or litigation is pending. We may be subject to competition during this period and may not be able to fully recover for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 cease using the technology or product in dispute. In addition, we cannot guarantee that such licenses will be available on terms acceptable to us, or at all.</w:t>
      </w:r>
    </w:p>
    <w:p>
      <w:pPr>
        <w:spacing w:after="0" w:line="1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Further, under the Hatch-Waxman Act, our products approved by the FDA under the FDCA may be the subject of patent litigation with generic competitors before expiry of the five year period of data exclusivity provided for under the Hatch-Waxman Act and prior to the expiration of the patents listed for the product. Likewise, our innovative biologic products may be the subject of patent litigation prior to the expiration of our patents and, with respect to competitors seeking approval as a biosimilar or interchangeable version of our products, prior to the twelve year exclusivity period provided under the ACA. In addition, we may face additional patent litigation involving claims that the biosimilar product candidates we are working to develop infringe the patents of other companies that manufacture, market or sell the applicable reference products.</w:t>
      </w:r>
    </w:p>
    <w:p>
      <w:pPr>
        <w:spacing w:after="0" w:line="1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Certain of the existing patents on our principal products have recently expired or will expire this year or over the next few years. (See Item 1. Business —Marketing, Distribution and Selected Marketed Products—Patents.) As our patents expire,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07" w:right="2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be able to legally produce and market similar products or technologies, including biosimilars, which may have a material adverse effect on our product sales, business and results of operations. We have received, and we continue to seek, additional patent protection relating to our products, including patents on our products, specific processes for making our products, formulations and particular uses of our products. However, competitors may be able to invalidate, design around or otherwise circumvent our patents and sell competing products.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sales and operations are subject to the risks of doing business in emerging markets.</w:t>
      </w:r>
    </w:p>
    <w:p>
      <w:pPr>
        <w:spacing w:after="0" w:line="14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expect a significant portion of growth in our future business to come from expanding in emerging markets. As we continue our expansion efforts in emerging markets around the world, through acquisitions and licensing transactions as well as through the development and introduction of our current products into new markets, we face numerous risks to our business. There is no guarantee that the Company’s efforts and strategies to expand sales in emerging markets will succeed. Emerging market countries may be especially vulnerable to periods of global political, legal, regulatory and financial instability, including sovereign debt issues, fluctuations in currency exchange rates and/or the imposition of international sanctions in response to certain state actions. The Company may also be required to increase its reliance on third-party agents and unfamiliar operations and arrangements previously utilized by companies that we partner with or acquire in emerging markets (See We must conduct clinical trials in humans before we can commercialize and sell any of our product candidates or existing products for new indications.). Our international operations and business may also be subject to less protective intellectual property or other applicable laws, diverse data privacy and protection requirements, changing tax laws and tariffs, far-reaching anti-bribery and anti-corruption laws and regulations and an evolving legal and regulatory environment. These legal and operational challenges along with governmental controls, the challenges of attracting and retaining qualified personnel and obtaining and/or maintain necessary regulatory or pricing approvals of our products may result in a material adverse impact on the international sales of our products, our business and results of operations.</w:t>
      </w:r>
    </w:p>
    <w:p>
      <w:pPr>
        <w:spacing w:after="0" w:line="108"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Concentration of sales at certain of our wholesaler distributors and consolidation of free-standing dialysis clinic businesses may negatively impact our business.</w:t>
      </w:r>
    </w:p>
    <w:p>
      <w:pPr>
        <w:spacing w:after="0" w:line="79" w:lineRule="exact"/>
        <w:rPr>
          <w:sz w:val="20"/>
          <w:szCs w:val="20"/>
          <w:color w:val="auto"/>
        </w:rPr>
      </w:pPr>
    </w:p>
    <w:p>
      <w:pPr>
        <w:jc w:val="both"/>
        <w:ind w:firstLine="405"/>
        <w:spacing w:after="0" w:line="228" w:lineRule="auto"/>
        <w:rPr>
          <w:sz w:val="20"/>
          <w:szCs w:val="20"/>
          <w:color w:val="auto"/>
        </w:rPr>
      </w:pPr>
      <w:r>
        <w:rPr>
          <w:rFonts w:ascii="Times New Roman" w:cs="Times New Roman" w:eastAsia="Times New Roman" w:hAnsi="Times New Roman"/>
          <w:sz w:val="18"/>
          <w:szCs w:val="18"/>
          <w:color w:val="auto"/>
        </w:rPr>
        <w:t>The substantial majority of our U.S. product sales is made to three pharmaceutical product wholesaler distributors: AmerisourceBergen Corporation, Cardinal Health, Inc. and McKesson Corporation. These distributors, in turn, sell our products to their customers, which include physicians or their clinics, dialysis centers, hospitals and pharmacies. One of our products,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is sold primarily to free-standing dialysis clinics, which have experienced significant consolidation. Two organizations, DaVita and Fresenius Medical Care North America, own or manage a large number of the outpatient dialysis facilities located in the United States and account for a substantial majority of all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in the free-standing dialysis clinic setting. Due to this concentration, these entities have substantial purchasing leverage, which may put pressure on our pricing by their potential ability to extract price discounts on our products or fees for other services, correspondingly negatively impacting our bargaining position and profit margins.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Our business may be affected by litigation and government investigations.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are involved in legal proceedings. (See Part IV—Note 18, Contingencies and commitments, to the Consolidated Financial Statements.) Civil and criminal litigation is inherently unpredictable, and the outcome can result in costly verdicts, fines and penalties, exclusion from the federal healthcare programs and/or injunctive relief that affect how we operate our business. Defense of litigation claims can be expensive, time-consuming and distracting and it is possible that we could incur judgments or enter into settlements of claims for monetary damages or change the way we operate our business, which could have a material adverse effect on our business and results of operations. In addition, product liability is a major risk in testing and marketing biotechnology and pharmaceutical products. We may face substantial product liability exposure in human clinical trials and for products that we sell after regulatory approval. Product liability claims, regardless of their merits, could be costly and divert management's attention and adversely affect our reputation and the demand for our products. Amgen and Immunex have previously been named as defendants in product liability actions for certain of our products.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also involved in government investigations that arise in the ordinary course of our business. As we announced on December 19, 2012, we finalized a settlement agreement with the U.S. government and various other parties to settle certain allegations regarding our sales and marketing practices. However, we may also be subject to actions by governmental entities, including those not participating in the settlement, and may in the future become subject to claims by other parties, in each case with respect to the alleged conduct which is the subject of the settlement. We may see new governmental investigations of or actions against us citing novel theories of recovery. Any of these results could have a material adverse effect on our business and results of operations.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adoption of new tax legislation or exposure to additional tax liabilities could affect our profitability.</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other jurisdictions in which we do business. As a result, our provision for income taxes is derived from a combination of applicable tax rates in the various places we operate. Significant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required for determining our provision for income tax and our tax returns are periodically examined by various tax authorities. We believe our accrual for tax liabilities is adequate for all open years based on past experience, interpretations of tax law, and judgments about potential actions by tax authorities; however, due to the complexity of the provision for income taxes, the ultimate resolution of any tax matters may result in payments greater or less than amounts accrued. 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For example, there are several proposals under consideration in the United States to reform tax law, including proposals that may reduce or eliminate the deferral of U.S. income tax on our unrepatriated foreign earnings. A significant change to the U.S. tax system, such as a change to the taxation of income earned outside the United States including credits allowed for foreign taxes, or a significant change to the Puerto Rico tax system, could have a material and adverse effect on our business and on the results of our operations.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 may not be able to access the capital and credit markets on terms that are favorable to us, or at all.</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capital and credit markets may experience extreme volatility and disruption which may lead to uncertainty and liquidity issues for both borrowers and investors. We may access the capital markets to supplement our existing funds and cash generated from operations in satisfying our needs for working capital; capital expenditure and debt service requirements; our plans to pay dividends; and other business initiatives we plan to strategically pursue, including acquisitions and licensing activities. In the event of adverse capital and credit market conditions, we may be unable to obtain capital market financing on similar favorable terms, or at all, which could have a material adverse effect on our business and results of operations. Changes in credit ratings issued by nationally recognized credit rating agencies could adversely affect our cost of financing and have an adverse effect on the market price of our securities.</w:t>
      </w:r>
    </w:p>
    <w:p>
      <w:pPr>
        <w:spacing w:after="0" w:line="105"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Our risk mitigation measures and corporate compliance program cannot guarantee that we effectively manage all operational risks and that we are in compliance with all potentially applicable U.S. federal and state regulations and all potentially applicable foreign regulations and/or other requirements.</w:t>
      </w:r>
    </w:p>
    <w:p>
      <w:pPr>
        <w:spacing w:after="0" w:line="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The development, manufacturing, distribution, pricing, sales, marketing and reimbursement of our products, together with our general operations, are subject to extensive federal and state regulation in the United States and to extensive regulation in foreign countries. (See Our current products and products in development cannot be sold without regulatory approval and Manufacturing difficulties, disruptions or delays could limit supply of our products and limit our product sales.) In addition, our business is complex, involves significant operational risks and includes the use of third parties to conduct business. While we have implemented numerous risk mitigation measures to comply with such regulations in this complex operating environment, we cannot guarantee that we will be able to effectively mitigate all operational risks. Further, we are operating under a corporate integrity agreement with the U.S. Department of Health and Human Services, OIG, which requires us to maintain our corporate compliance program and to undertake a set of defined obligations. The corporate integrity agreement requires us to make periodic attestations that we are implementing and following the provisions of the corporate integrity agreement, and provides for an independent third-party review organization to assess and report on our compliance to the OIG. While we have developed and instituted a corporate compliance program, we cannot guarantee that we, our employees, our partners, our consultants, our contractors or other third parties are or will be in compliance with all potentially applicable U.S. federal and state regulations and/or laws, all potentially applicable foreign regulations and/or laws and/or all requirements of the corporate integrity agreement. If we fail to adequately mitigate our operational risks or if we or our agents fail to comply with any of those regulations, laws and/or requirements of the corporate integrity agreement, a range of actions could result, including, but not limited to, the termination of clinical trials, the failure to approve a product candidate, restrictions on our products or manufacturing processes, withdrawal of our products from the market, significant fines, exclusion from government healthcare programs or other sanctions or litigation. Such occurrences could have a material and adverse effect on our product sales, business and results of operations.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We are increasingly dependent on information technology systems, infrastructure and data.</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The multitude and complexity of our computer systems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the Company, its patients, customers or other business partners, may be exposed to unauthorized persons or to the public. Cyber-attacks are increasing in their frequency, sophistication and intensity, and have become increasingly difficult to detect. Cyber-attacks could include the deployment of harmful malware, denial-of-service, social engineering and other means to affect service reliability and threaten data confidentiality, integrity and availability. Our key business partners face similar risks and any security breach of their systems could adversely affect our security posture. While in the past we have experienced cyber-attacks and intrusions into our computer systems, we do not believe that such attacks have had a material adverse effect on our operations. While we continue to invest heavily in the protection of data and information technology, there can be no assurance that our efforts will prevent service interruptions, or identify breaches in our systems, that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could adversely affect our business and operations and/or result in the loss of critical or sensitive information, which could result in financial, legal, business or reputational harm to us.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Global economic conditions may negatively affect us and may magnify certain risks that affect our business.</w:t>
      </w:r>
    </w:p>
    <w:p>
      <w:pPr>
        <w:spacing w:after="0" w:line="14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affected by economic conditions in the United States and throughout the world. As more fully explained below, financial pressures may cause government or other third-party payers to more aggressively seek cost containment through mandatory discounts on our products, policies requiring the automatic substitution of generics or biosimilars, higher hurdles for initial reimbursement approval for new products or other similar measures. (See We expect to face increasing competition from biosimilars.) For example, in recent years, Amgen has had to pay increased discounts under the 340B Drug Pricing Program in the United States through expansion to more settings of care and making more entities eligible to the mandatory discounts. Additionally, as a result of global economic conditions, third-party payers may delay or be unable to satisfy their reimbursement obligations. In addition, as a result of the economic conditions and/or employer decisions regarding the insurance coverage mandate that goes into effect in the United States in 2015 and 2016, some employers may seek to reduce costs by reducing or eliminating employer group healthcare plans or transferring a greater portion of healthcare costs to their employees. Job losses or other economic hardships may also result in reduced levels of coverage for some individuals, potentially resulting in lower levels of healthcare coverage for themselves or their families. These economic conditions may affect patients' ability to afford health care as a result of increased co-pay or deductible obligations, greater cost sensitivity to existing co-pay or deductible obligations, lost healthcare insurance coverage or for other reasons. We believe such conditions have led and could continue to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and/or foregoing healthcare insurance coverage. In addition to its effects on consumers, any economic downturn may have also increased cost sensitivities among medical providers in the United States, such as oncology clinics, particularly in circumstances where providers may experience challenges in the collection of patient co-pays or be forced to absorb treatment costs as a result of coverage decisions or reimbursement terms. Collectively, we believe these changes have resulted and may continue to result in reduced demand for our products, which could materially and adversely affect the sales of our products, our business and results of operations. Any resulting decrease in demand for our products could also cause us to experience excess inventory write-offs and/or excess capacity or impairment charges at certain of our manufacturing facilities.</w:t>
      </w:r>
    </w:p>
    <w:p>
      <w:pPr>
        <w:spacing w:after="0" w:line="11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Economic conditions continue to affect our operations and performance outside the United States as well, particularly in countries where government-sponsored healthcare systems are the primary payers for healthcare expenditures. Credit and economic conditions have adversely impacted the timing of collections of our trade receivables. (See Part II—Item 7. Management’s Discussion and Analysis of Financial Condition and Results of Operation—Financial Condition, Liquidity and Capital Resources.) Further economic challenges may impact our ability to collect some or all of our receivables, which could have a material adverse impact on our operating cash flows and a material adverse effect on our financial position, liquidity or results of operations. (See Our sales depend on coverage and reimbursement from third-party payers.)</w:t>
      </w:r>
    </w:p>
    <w:p>
      <w:pPr>
        <w:spacing w:after="0" w:line="10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also rely upon third parties for certain parts of our business, including licensees and partners, wholesale distributors of our products, contract clinical trial providers, contract manufacturers and single third-party suppliers. There may be a disruption or delay in the performance or satisfaction of commitments to us by these third parties which could have a material adverse effect on the sales of our products, our business and results of operations. Current economic conditions may adversely affect the ability of our distributors, customers and suppliers to obtain the liquidity required to buy inventory or raw materials and to perform their obligations under agreements with us, which could disrupt our operations. Further, economic conditions appear to have affected, and may continue to affect, the business practices of our wholesale distributors in a manner that contributes to lower sales of our products. Although we monitor our distributors', customers' and suppliers' financial condition and their liquidity in order to mitigate our business risks, some of our distributors, customers and suppliers may become insolvent, which could have a material adverse effect on the sales of our products, our business and results of operations. These risks may be elevated with respect to our interactions with third parties with substantial operations in countries where current economic conditions are the most severe, particularly where such third parties are themselves exposed to sovereign risk from business interactions directly with fiscally-challenged government payers.</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a significant portfolio of investments disclosed as cash equivalents and marketable securities on our Consolidated Balance Sheet. The value of our investments may be adversely affected by interest rate fluctuations, downgrades in credit ratings, illiquidity in the capital markets and other factors that may result in other than temporary declines in the value of our investments. Any of those events could cause us to record impairment charges with respect to our investment portfolio or to realize losses on the sale of investments.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i w:val="1"/>
          <w:iCs w:val="1"/>
          <w:color w:val="auto"/>
        </w:rPr>
        <w:t>Our stock price is volatile.</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stock price, like that of our peers in the biotechnology and pharmaceutical industries, is volatile. Our revenues and operating results may fluctuate from period to period for a number of reasons. Events such as a delay in product development or even a relatively small revenue shortfall may cause financial results for a period to be below our expectations or projections. As a result, our revenues and operating results and, in turn, our stock price may be subject to significant fluctuations.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Guidelines and recommendations published by various organizations can reduce the use of our products.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However, professional societies, practice management groups, insurance carriers, physicians, private health/science foundations and organizations involved in various diseases from time to time may also publish guidelines or recommendations to healthcare providers, administrators and payers, and patient communities. Recommendations by government agencies or those other groups/organizations may relate to such matters as usage, dosage, route of administration and use of related therapies as well as reimbursement of our products by government and private payers. In addition, HTA organizations, such as the National Institute for Health and Clinical Excellence in the UK and the Canadian Agency for Drugs and Technologies in Health, make reimbursement recommendations to payers in their jurisdictions based on the clinical effectiveness, cost-effectiveness and service impact of new, emerging and existing medicines and treatments. Any recommendations or guidelines that result in decreased use, dosage or reimbursement of our products could materially and adversely affect our product sales, business and operating results. In addition, the perception by the investment community or stockholders that such recommendations or guidelines will result in decreased use and dosage of our products could adversely affect the market price for our common stock.</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commercialization of certain of our product candidates and the marketing of certain of our products is dependent in part on our partners.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third parties to assist in the commercialization of certain of our product candidates and the marketing of certain of our products in specified geographic areas. (See Item 1. Business—Business Relationships.) Many of these agreements involve the sharing of certain decisions and a division of responsibilities, costs and benefits. If our partners fail to effectively deliver on their marketing and commercialization commitments to us or if we and our partners fail to coordinate our efforts effectively, sales of our products may be materially and adversely affected.</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There can be no assurance that we will continue to declare cash dividends or that we will repurchase stock.</w:t>
      </w:r>
    </w:p>
    <w:p>
      <w:pPr>
        <w:spacing w:after="0" w:line="14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Board of Directors has declared quarterly dividends on our common stock since it adopted a dividend policy in 2011. In addition, in October 2014, our Board of Directors authorized an increase in our stock repurchase program that resulted in a total of $4.0 billion available under the repurchase program. Whether we pay such dividends and repurchase our stock in the future, and the amount and timing of such dividends and/or stock repurchases are subject to capital availability and periodic determinations by our Board of Directors that cash dividends and/or stock repurchases are in the best interest of our stockholders and are in compliance with all respective laws and agreements of the Company applicable to the declaration and payment of cash dividends and the repurchase of stock. Future dividends and stock repurchases, including their timing and amount, may be affected by, among other factors: our views on potential future capital requirements for strategic transactions, including acquisitions; debt service requirements; our credit rating; changes to applicable tax laws or corporate laws; and changes to our business model. In addition, the amount we spend and the number of shares we are able to repurchase under our stock repurchase program may further be affected by a number of other factors, including the stock price and blackout periods in which we are restricted from repurchasing shares. Our dividend payments and/or stock repurchases may change from time to time, and we cannot provide assurance that we will continue to declare dividends and/or repurchase stock in any particular amounts or at all. The reduction in or elimination of our dividend payments and/or stock repurchases could have a negative effect on our stock price.</w:t>
      </w:r>
    </w:p>
    <w:p>
      <w:pPr>
        <w:spacing w:after="0" w:line="108"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The illegal distribution and sale by third parties of counterfeit versions of our products or of stolen or diverted products could have a negative impact on our reputation and business.</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Third parties may illegally distribute and sell counterfeit versions of our products, which do not meet the exacting standards of our Company's development, manufacturing and distribution processes. Counterfeit medicines pose a significant risk to patient health and safety because of the conditions under which they are manufactured and the lack of regulation of their contents. Counterfeit products are frequently unsafe or ineffective and can be potentially life-threatening. Our reputation and business could suffer harm as a result of counterfeit drugs sold under our brand name. In addition, products stolen from inventory, at warehouses, plants or while in transit or unlawfully diverted, which are not properly stored and which are sold through unauthorized channels, could adversely impact patient safety, our reputation and our business. Public loss of confidence in the integrity of biologics and/or pharmaceutical products as a result of counterfeiting or theft could have a material adverse effect on our product sales, business and results of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8" w:right="239" w:bottom="1440" w:gutter="0" w:footer="0" w:header="0"/>
        </w:sectPr>
      </w:pPr>
    </w:p>
    <w:bookmarkStart w:id="37" w:name="page38"/>
    <w:bookmarkEnd w:id="37"/>
    <w:p>
      <w:pPr>
        <w:ind w:left="420"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experience difficulties, delays or unexpected costs and not achieve anticipated benefits and savings from our recently announced restructuring plan.</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second half of 2014, we initiated a restructuring plan to invest in continuing innovation and the launch of our new pipeline molecules, while improving our cost structure. As part of the plan, we expect to reduce staff and close or dispose of certain facilities. We may not realize, in full or in part, the anticipated benefits and savings from our restructuring efforts due to unforeseen difficulties, delays or unexpected costs, which may adversely affect our business and results of operations.</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Following the completion of our restructuring, we must execute our core business initiatives, including advancing our pipeline and addressing competition from competitor products and biosimilars, with fewer human resources. We must also attract, retain and motivate key employees that are critical to our business. If we are unable to effectively execute with fewer staff members and/or attract, retain or motivate key employees, it may adversely affect our business.</w:t>
      </w:r>
    </w:p>
    <w:p>
      <w:pPr>
        <w:spacing w:after="0" w:line="25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8" w:right="239" w:bottom="1440" w:gutter="0" w:footer="0" w:header="0"/>
        </w:sectPr>
      </w:pPr>
    </w:p>
    <w:bookmarkStart w:id="38" w:name="page39"/>
    <w:bookmarkEnd w:id="38"/>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2014, we owned or leased approximately 200 properties. The locations and primary functions of significant properties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48985" cy="4648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Excluded from the table above are undeveloped land and leased properties that have been abandoned and certain buildings that we still own but are no longer used in our business. There are no material encumbrances on our properties.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facilities are suitable for their intended use and, in conjunction with our third-party contracting manufacturing agreements, provide adequate capacity and are sufficient to meet our expected needs. See Item 1A. Risk Factors for a discussion on the factors that could adversely impact our manufacturing operations and the global supply of our products.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Item 1. Business—Manufacturing, Distribution and Raw Materials.</w:t>
      </w:r>
    </w:p>
    <w:p>
      <w:pPr>
        <w:spacing w:after="0" w:line="30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Certain of the legal proceedings in which we are involved are discussed in Part IV—Note 18, Contingencies and commitments, to our Consolidated Financial Statements in this Annual Report on Form 10-K and are hereby incorporated by reference.</w:t>
      </w:r>
    </w:p>
    <w:p>
      <w:pPr>
        <w:spacing w:after="0" w:line="23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38"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ind w:left="1300" w:right="24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4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AMGN. As of February 12, 2015, there were approximately 7,383 holders of record of our common stock.</w:t>
      </w:r>
    </w:p>
    <w:p>
      <w:pPr>
        <w:spacing w:after="0" w:line="8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range of high and low quarterly closing sales prices of the common stock as quoted on The NASDAQ Global Select Market: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4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40" w:type="dxa"/>
            <w:vAlign w:val="bottom"/>
          </w:tcPr>
          <w:p>
            <w:pPr>
              <w:spacing w:after="0"/>
              <w:rPr>
                <w:sz w:val="13"/>
                <w:szCs w:val="13"/>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4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130.45</w:t>
            </w:r>
          </w:p>
        </w:tc>
      </w:tr>
      <w:tr>
        <w:trPr>
          <w:trHeight w:val="243"/>
        </w:trPr>
        <w:tc>
          <w:tcPr>
            <w:tcW w:w="40" w:type="dxa"/>
            <w:vAlign w:val="bottom"/>
          </w:tcPr>
          <w:p>
            <w:pPr>
              <w:spacing w:after="0"/>
              <w:rPr>
                <w:sz w:val="21"/>
                <w:szCs w:val="21"/>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4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115.39</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4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110.29</w:t>
            </w:r>
          </w:p>
        </w:tc>
      </w:tr>
      <w:tr>
        <w:trPr>
          <w:trHeight w:val="243"/>
        </w:trPr>
        <w:tc>
          <w:tcPr>
            <w:tcW w:w="40" w:type="dxa"/>
            <w:vAlign w:val="bottom"/>
          </w:tcPr>
          <w:p>
            <w:pPr>
              <w:spacing w:after="0"/>
              <w:rPr>
                <w:sz w:val="21"/>
                <w:szCs w:val="21"/>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4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113.48</w:t>
            </w:r>
          </w:p>
        </w:tc>
      </w:tr>
      <w:tr>
        <w:trPr>
          <w:trHeight w:val="257"/>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4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w:t>
            </w:r>
          </w:p>
        </w:tc>
        <w:tc>
          <w:tcPr>
            <w:tcW w:w="4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106.28</w:t>
            </w:r>
          </w:p>
        </w:tc>
      </w:tr>
      <w:tr>
        <w:trPr>
          <w:trHeight w:val="243"/>
        </w:trPr>
        <w:tc>
          <w:tcPr>
            <w:tcW w:w="40" w:type="dxa"/>
            <w:vAlign w:val="bottom"/>
          </w:tcPr>
          <w:p>
            <w:pPr>
              <w:spacing w:after="0"/>
              <w:rPr>
                <w:sz w:val="21"/>
                <w:szCs w:val="21"/>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4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95.81</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4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94.60</w:t>
            </w:r>
          </w:p>
        </w:tc>
      </w:tr>
      <w:tr>
        <w:trPr>
          <w:trHeight w:val="243"/>
        </w:trPr>
        <w:tc>
          <w:tcPr>
            <w:tcW w:w="40" w:type="dxa"/>
            <w:vAlign w:val="bottom"/>
          </w:tcPr>
          <w:p>
            <w:pPr>
              <w:spacing w:after="0"/>
              <w:rPr>
                <w:sz w:val="21"/>
                <w:szCs w:val="21"/>
                <w:color w:val="auto"/>
              </w:rPr>
            </w:pPr>
          </w:p>
        </w:tc>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4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82.08</w:t>
            </w:r>
          </w:p>
        </w:tc>
      </w:tr>
      <w:tr>
        <w:trPr>
          <w:trHeight w:val="621"/>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graph shows the value of an investment of $100 on December 31, 2009, in each of Amgen common stock, the Amex Biotech Index, the Amex Pharmaceutical Index and Standard &amp; Poor’s 500 Index (S&amp;P 500).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57"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Amgen vs. Amex Biotech, Amex Pharmaceutical and S&amp;P 500 Indices</w:t>
      </w:r>
    </w:p>
    <w:p>
      <w:pPr>
        <w:spacing w:after="0" w:line="67"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Comparison of Five-Year Cumulative Total Return</w:t>
      </w:r>
    </w:p>
    <w:p>
      <w:pPr>
        <w:spacing w:after="0" w:line="63"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Value of Investment of $100 on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120015</wp:posOffset>
            </wp:positionV>
            <wp:extent cx="5848985" cy="3636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12/31/2009</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12/31/2010</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12/31/2011</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12/31/2014</w:t>
            </w: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(AMGN)</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299.33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Amex Biotech (BTK)</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137.73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115.91</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247.47</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366.04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Amex Pharmaceutical (DRG)</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203.45</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 (SPX)</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114.82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117.23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179.25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203.77</w:t>
            </w: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material in this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2014, we had one outstanding stock repurchase program, under which the repurchasing activity 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gridSpan w:val="3"/>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480" w:type="dxa"/>
            <w:vAlign w:val="bottom"/>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1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gridSpan w:val="3"/>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gridSpan w:val="3"/>
            <w:vMerge w:val="continue"/>
          </w:tcPr>
          <w:p>
            <w:pPr>
              <w:spacing w:after="0"/>
              <w:rPr>
                <w:sz w:val="4"/>
                <w:szCs w:val="4"/>
                <w:color w:val="auto"/>
              </w:rPr>
            </w:pPr>
          </w:p>
        </w:tc>
        <w:tc>
          <w:tcPr>
            <w:tcW w:w="1480" w:type="dxa"/>
            <w:vAlign w:val="bottom"/>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95"/>
        </w:trPr>
        <w:tc>
          <w:tcPr>
            <w:tcW w:w="4580" w:type="dxa"/>
            <w:vAlign w:val="bottom"/>
          </w:tcPr>
          <w:p>
            <w:pPr>
              <w:spacing w:after="0"/>
              <w:rPr>
                <w:sz w:val="8"/>
                <w:szCs w:val="8"/>
                <w:color w:val="auto"/>
              </w:rPr>
            </w:pPr>
          </w:p>
        </w:tc>
        <w:tc>
          <w:tcPr>
            <w:tcW w:w="1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900" w:type="dxa"/>
            <w:vAlign w:val="bottom"/>
            <w:gridSpan w:val="3"/>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900" w:type="dxa"/>
            <w:vAlign w:val="bottom"/>
            <w:gridSpan w:val="3"/>
            <w:vMerge w:val="continue"/>
          </w:tcPr>
          <w:p>
            <w:pPr>
              <w:spacing w:after="0"/>
              <w:rPr>
                <w:sz w:val="4"/>
                <w:szCs w:val="4"/>
                <w:color w:val="auto"/>
              </w:rPr>
            </w:pPr>
          </w:p>
        </w:tc>
        <w:tc>
          <w:tcPr>
            <w:tcW w:w="14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September 30</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1,559,838,541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1 - October 31</w:t>
            </w: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4,000,000,000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 November 30</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223,000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3,963,725,678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1 - December 31</w:t>
            </w: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714,209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21"/>
                <w:szCs w:val="21"/>
                <w:color w:val="auto"/>
              </w:rPr>
            </w:pPr>
          </w:p>
        </w:tc>
        <w:tc>
          <w:tcPr>
            <w:tcW w:w="15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714,209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3,846,756,797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December 31</w:t>
            </w:r>
          </w:p>
        </w:tc>
        <w:tc>
          <w:tcPr>
            <w:tcW w:w="16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937,209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163.51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937,209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420" w:hanging="250"/>
        <w:spacing w:after="0"/>
        <w:tabs>
          <w:tab w:leader="none" w:pos="4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price paid per share includes related expenses.</w:t>
      </w:r>
    </w:p>
    <w:p>
      <w:pPr>
        <w:spacing w:after="0" w:line="98" w:lineRule="exact"/>
        <w:rPr>
          <w:rFonts w:ascii="Times New Roman" w:cs="Times New Roman" w:eastAsia="Times New Roman" w:hAnsi="Times New Roman"/>
          <w:sz w:val="25"/>
          <w:szCs w:val="25"/>
          <w:color w:val="auto"/>
          <w:vertAlign w:val="superscript"/>
        </w:rPr>
      </w:pPr>
    </w:p>
    <w:p>
      <w:pPr>
        <w:ind w:left="420" w:hanging="250"/>
        <w:spacing w:after="0" w:line="211" w:lineRule="auto"/>
        <w:tabs>
          <w:tab w:leader="none" w:pos="4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October 2014, our Board of Directors authorized an increase that resulted in a total of $4.0 billion available under the stock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2014 and 2013,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15, Stockholders’ equity, to the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Existing Equity Compensation Plans</w:t>
      </w:r>
    </w:p>
    <w:p>
      <w:pPr>
        <w:spacing w:after="0" w:line="14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Information about securities authorized for issuance under existing equity compensation plans is incorporated by reference from Item 12—Securities Authorized for Issuance Under Existing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5"/>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8"/>
        </w:trPr>
        <w:tc>
          <w:tcPr>
            <w:tcW w:w="4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 of Income Data:</w:t>
            </w:r>
          </w:p>
        </w:tc>
        <w:tc>
          <w:tcPr>
            <w:tcW w:w="3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1"/>
        </w:trPr>
        <w:tc>
          <w:tcPr>
            <w:tcW w:w="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1"/>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8"/>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18,192</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14,660</w:t>
            </w:r>
          </w:p>
        </w:tc>
      </w:tr>
      <w:tr>
        <w:trPr>
          <w:trHeight w:val="27"/>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r>
      <w:tr>
        <w:trPr>
          <w:trHeight w:val="237"/>
        </w:trPr>
        <w:tc>
          <w:tcPr>
            <w:tcW w:w="40" w:type="dxa"/>
            <w:vAlign w:val="bottom"/>
          </w:tcPr>
          <w:p>
            <w:pPr>
              <w:spacing w:after="0"/>
              <w:rPr>
                <w:sz w:val="20"/>
                <w:szCs w:val="20"/>
                <w:color w:val="auto"/>
              </w:rPr>
            </w:pPr>
          </w:p>
        </w:tc>
        <w:tc>
          <w:tcPr>
            <w:tcW w:w="40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17,265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15,053</w:t>
            </w:r>
          </w:p>
        </w:tc>
      </w:tr>
      <w:tr>
        <w:trPr>
          <w:trHeight w:val="27"/>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2,501</w:t>
            </w:r>
          </w:p>
        </w:tc>
      </w:tr>
      <w:tr>
        <w:trPr>
          <w:trHeight w:val="27"/>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2,894</w:t>
            </w:r>
          </w:p>
        </w:tc>
      </w:tr>
      <w:tr>
        <w:trPr>
          <w:trHeight w:val="243"/>
        </w:trPr>
        <w:tc>
          <w:tcPr>
            <w:tcW w:w="40" w:type="dxa"/>
            <w:vAlign w:val="bottom"/>
          </w:tcPr>
          <w:p>
            <w:pPr>
              <w:spacing w:after="0"/>
              <w:rPr>
                <w:sz w:val="21"/>
                <w:szCs w:val="21"/>
                <w:color w:val="auto"/>
              </w:rPr>
            </w:pPr>
          </w:p>
        </w:tc>
        <w:tc>
          <w:tcPr>
            <w:tcW w:w="4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08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4,627</w:t>
            </w:r>
          </w:p>
        </w:tc>
      </w:tr>
      <w:tr>
        <w:trPr>
          <w:trHeight w:val="27"/>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4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Dividends paid per share</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8"/>
        </w:trPr>
        <w:tc>
          <w:tcPr>
            <w:tcW w:w="4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 Data:</w:t>
            </w:r>
          </w:p>
        </w:tc>
        <w:tc>
          <w:tcPr>
            <w:tcW w:w="3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1"/>
        </w:trPr>
        <w:tc>
          <w:tcPr>
            <w:tcW w:w="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1"/>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3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54,298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43,486</w:t>
            </w:r>
          </w:p>
        </w:tc>
      </w:tr>
      <w:tr>
        <w:trPr>
          <w:trHeight w:val="270"/>
        </w:trPr>
        <w:tc>
          <w:tcPr>
            <w:tcW w:w="11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5"/>
                <w:szCs w:val="25"/>
                <w:color w:val="auto"/>
                <w:vertAlign w:val="superscript"/>
              </w:rPr>
              <w:t>(2)</w:t>
            </w: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26,529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13,362</w:t>
            </w:r>
          </w:p>
        </w:tc>
      </w:tr>
      <w:tr>
        <w:trPr>
          <w:trHeight w:val="270"/>
        </w:trPr>
        <w:tc>
          <w:tcPr>
            <w:tcW w:w="4120" w:type="dxa"/>
            <w:vAlign w:val="bottom"/>
            <w:gridSpan w:val="5"/>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Total stockholders’ equity</w:t>
            </w:r>
            <w:r>
              <w:rPr>
                <w:rFonts w:ascii="Times New Roman" w:cs="Times New Roman" w:eastAsia="Times New Roman" w:hAnsi="Times New Roman"/>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19,060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23,944</w:t>
            </w:r>
          </w:p>
        </w:tc>
      </w:tr>
    </w:tbl>
    <w:p>
      <w:pPr>
        <w:spacing w:after="0" w:line="11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following notes, see Item 7. Management’s Discussion and Analysis of Financial Condition and Results of Operations and the Consolidated Financial Statements and accompanying notes and previously filed Annual Reports on Form 10-K for further information regarding our consolidated results of operations and financial position for periods reported therein and for known factors that will impact comparability of future results. Also, see Part IV—Note 15, Stockholders’ equity, to the Consolidated Financial Statements, for information regarding cash dividends declared per share of common stock.</w:t>
      </w:r>
    </w:p>
    <w:p>
      <w:pPr>
        <w:spacing w:after="0" w:line="103" w:lineRule="exact"/>
        <w:rPr>
          <w:sz w:val="20"/>
          <w:szCs w:val="20"/>
          <w:color w:val="auto"/>
        </w:rPr>
      </w:pPr>
    </w:p>
    <w:p>
      <w:pPr>
        <w:ind w:left="420" w:hanging="250"/>
        <w:spacing w:after="0" w:line="218"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2011, we recorded a $780 million legal settlement charge ($705 million, net of tax) in connection with an agreement in principle to settle allegations related to our sales and marketing practices.</w:t>
      </w:r>
    </w:p>
    <w:p>
      <w:pPr>
        <w:spacing w:after="0" w:line="118" w:lineRule="exact"/>
        <w:rPr>
          <w:rFonts w:ascii="Times New Roman" w:cs="Times New Roman" w:eastAsia="Times New Roman" w:hAnsi="Times New Roman"/>
          <w:sz w:val="25"/>
          <w:szCs w:val="25"/>
          <w:color w:val="auto"/>
          <w:vertAlign w:val="superscript"/>
        </w:rPr>
      </w:pPr>
    </w:p>
    <w:p>
      <w:pPr>
        <w:jc w:val="both"/>
        <w:ind w:left="420" w:hanging="250"/>
        <w:spacing w:after="0" w:line="228"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Part IV—Note 14, Financing arrangements, to the Consolidated Financial Statements for discussion of our financing arrangements. In addition, in 2011 and 2010, we issued $10.5 billion and $2.5 billion, respectively, aggregate principal amount of notes. In 2011, we repaid our 0.125% Convertible Notes of $2.5 billion. No debt was due or repaid in 2010.</w:t>
      </w:r>
    </w:p>
    <w:p>
      <w:pPr>
        <w:spacing w:after="0" w:line="116" w:lineRule="exact"/>
        <w:rPr>
          <w:rFonts w:ascii="Times New Roman" w:cs="Times New Roman" w:eastAsia="Times New Roman" w:hAnsi="Times New Roman"/>
          <w:sz w:val="25"/>
          <w:szCs w:val="25"/>
          <w:color w:val="auto"/>
          <w:vertAlign w:val="superscript"/>
        </w:rPr>
      </w:pPr>
    </w:p>
    <w:p>
      <w:pPr>
        <w:ind w:left="420" w:hanging="250"/>
        <w:spacing w:after="0" w:line="218"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Throughout the five years ended December 31, 2014, we had a stock repurchase program authorized by the Board of Directors through which we repurchased $0.2 billion, $0.8 billion, $4.7 billion, $8.3 billion and $3.8 billion, respectively, of Amgen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38" w:right="239" w:bottom="1440" w:gutter="0" w:footer="0" w:header="0"/>
        </w:sectPr>
      </w:pPr>
    </w:p>
    <w:bookmarkStart w:id="43" w:name="page44"/>
    <w:bookmarkEnd w:id="43"/>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accounting principles generally accepted in the United States (GAAP). Amgen operates in one business segment: human therapeutics. Therefore, our results of operations are discussed on a consolidated basis.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4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earnings per share (EPS), liquidity and capital resources, trends and planned dividends, stock repurchases and restructuring plans.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focuses on areas of high unmet medical need and leverages its biologics manufacturing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95"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Our principal products include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ENBREL,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additional information about our products, see Part I, Item 1. Business—Marketing, Distribution and Selected Marketed Products.</w:t>
      </w:r>
    </w:p>
    <w:p>
      <w:pPr>
        <w:spacing w:after="0" w:line="11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strategy for long-term growth continues to focus on discovery and development of innovative medicines to address serious illnesses, development of branded biosimilars, global expansion, next-generation manufacturing of high quality biologics, development of improved biologic drug delivery systems and return of capital to shareholders.</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2014, we advanced our strategy. Revenues increased 7% driven by strong performance across the portfolio. Product sales grew 5% in the United States and 11% in the rest of the world (ROW). We continued returning capital to shareholders through the payment of dividends and through stock repurchases. We paid dividends of $0.61 per share of common stock in each of the four quarters of 2014, representing a 30% increase over the quarterly dividend paid in each of the four quarters of 2013. In December 2014, we declared a dividend of $0.79 per share of common stock, payable in March 2015, representing a 30% increase over the quarterly dividend paid in 2014. In October 2014, our Board of Directors approved an increase in our stock repurchase authorization that resulted in a total of $4.0 billion available under that program. We reinitiated repurchase activity in November 2014 and repurchased 0.9 million shares of our common stock at an aggregate cost of $153 million during the remainder of 2014.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38" w:right="239" w:bottom="1440" w:gutter="0" w:footer="0" w:header="0"/>
        </w:sectPr>
      </w:pPr>
    </w:p>
    <w:bookmarkStart w:id="44" w:name="page45"/>
    <w:bookmarkEnd w:id="44"/>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delivering strong operating results, our innovative pipeline, which includes both internally-developed and externally-acquired opportunities, continued to advance in 2014, with the following milestones achieved: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Clinical Program</w:t>
            </w:r>
          </w:p>
        </w:tc>
        <w:tc>
          <w:tcPr>
            <w:tcW w:w="12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Lead Indication</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line="254" w:lineRule="exact"/>
              <w:rPr>
                <w:sz w:val="20"/>
                <w:szCs w:val="20"/>
                <w:color w:val="auto"/>
              </w:rPr>
            </w:pPr>
            <w:r>
              <w:rPr>
                <w:rFonts w:ascii="Times New Roman" w:cs="Times New Roman" w:eastAsia="Times New Roman" w:hAnsi="Times New Roman"/>
                <w:sz w:val="18"/>
                <w:szCs w:val="18"/>
                <w:color w:val="auto"/>
              </w:rPr>
              <w:t>Repatha</w:t>
            </w:r>
            <w:r>
              <w:rPr>
                <w:rFonts w:ascii="Times New Roman" w:cs="Times New Roman" w:eastAsia="Times New Roman" w:hAnsi="Times New Roman"/>
                <w:sz w:val="25"/>
                <w:szCs w:val="25"/>
                <w:color w:val="auto"/>
                <w:vertAlign w:val="superscript"/>
              </w:rPr>
              <w:t>™</w:t>
            </w:r>
          </w:p>
        </w:tc>
        <w:tc>
          <w:tcPr>
            <w:tcW w:w="3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Dyslipidemia</w:t>
            </w:r>
          </w:p>
        </w:tc>
        <w:tc>
          <w:tcPr>
            <w:tcW w:w="38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submission</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980" w:type="dxa"/>
            <w:vAlign w:val="bottom"/>
            <w:gridSpan w:val="2"/>
            <w:vMerge w:val="continue"/>
            <w:shd w:val="clear" w:color="auto" w:fill="CCEEFF"/>
          </w:tcPr>
          <w:p>
            <w:pPr>
              <w:spacing w:after="0"/>
              <w:rPr>
                <w:sz w:val="4"/>
                <w:szCs w:val="4"/>
                <w:color w:val="auto"/>
              </w:rPr>
            </w:pPr>
          </w:p>
        </w:tc>
        <w:tc>
          <w:tcPr>
            <w:tcW w:w="38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4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 submission</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Corlanor</w:t>
            </w:r>
            <w:r>
              <w:rPr>
                <w:rFonts w:ascii="Times New Roman" w:cs="Times New Roman" w:eastAsia="Times New Roman" w:hAnsi="Times New Roman"/>
                <w:sz w:val="25"/>
                <w:szCs w:val="25"/>
                <w:color w:val="auto"/>
                <w:vertAlign w:val="superscript"/>
              </w:rPr>
              <w:t>®</w:t>
            </w:r>
          </w:p>
        </w:tc>
        <w:tc>
          <w:tcPr>
            <w:tcW w:w="3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heart failure</w:t>
            </w:r>
          </w:p>
        </w:tc>
        <w:tc>
          <w:tcPr>
            <w:tcW w:w="38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submission</w:t>
            </w:r>
          </w:p>
        </w:tc>
        <w:tc>
          <w:tcPr>
            <w:tcW w:w="0" w:type="dxa"/>
            <w:vAlign w:val="bottom"/>
          </w:tcPr>
          <w:p>
            <w:pPr>
              <w:spacing w:after="0"/>
              <w:rPr>
                <w:sz w:val="1"/>
                <w:szCs w:val="1"/>
                <w:color w:val="auto"/>
              </w:rPr>
            </w:pPr>
          </w:p>
        </w:tc>
      </w:tr>
      <w:tr>
        <w:trPr>
          <w:trHeight w:val="81"/>
        </w:trPr>
        <w:tc>
          <w:tcPr>
            <w:tcW w:w="34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980" w:type="dxa"/>
            <w:vAlign w:val="bottom"/>
            <w:tcBorders>
              <w:bottom w:val="single" w:sz="8" w:color="CCEEFF"/>
            </w:tcBorders>
            <w:gridSpan w:val="2"/>
            <w:vMerge w:val="continue"/>
            <w:shd w:val="clear" w:color="auto" w:fill="CCEEFF"/>
          </w:tcPr>
          <w:p>
            <w:pPr>
              <w:spacing w:after="0"/>
              <w:rPr>
                <w:sz w:val="7"/>
                <w:szCs w:val="7"/>
                <w:color w:val="auto"/>
              </w:rPr>
            </w:pPr>
          </w:p>
        </w:tc>
        <w:tc>
          <w:tcPr>
            <w:tcW w:w="38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3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p>
        </w:tc>
        <w:tc>
          <w:tcPr>
            <w:tcW w:w="120" w:type="dxa"/>
            <w:vAlign w:val="bottom"/>
          </w:tcPr>
          <w:p>
            <w:pPr>
              <w:spacing w:after="0"/>
              <w:rPr>
                <w:sz w:val="24"/>
                <w:szCs w:val="24"/>
                <w:color w:val="auto"/>
              </w:rPr>
            </w:pPr>
          </w:p>
        </w:tc>
        <w:tc>
          <w:tcPr>
            <w:tcW w:w="3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100" w:type="dxa"/>
            <w:vAlign w:val="bottom"/>
            <w:vMerge w:val="restart"/>
          </w:tcPr>
          <w:p>
            <w:pPr>
              <w:spacing w:after="0"/>
              <w:rPr>
                <w:sz w:val="24"/>
                <w:szCs w:val="24"/>
                <w:color w:val="auto"/>
              </w:rPr>
            </w:pPr>
          </w:p>
        </w:tc>
        <w:tc>
          <w:tcPr>
            <w:tcW w:w="38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Phase 3 ASPIRE data</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Talimogene laherparepvec</w:t>
            </w:r>
          </w:p>
        </w:tc>
        <w:tc>
          <w:tcPr>
            <w:tcW w:w="3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Metastatic melanoma</w:t>
            </w:r>
          </w:p>
        </w:tc>
        <w:tc>
          <w:tcPr>
            <w:tcW w:w="38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submission</w:t>
            </w:r>
          </w:p>
        </w:tc>
        <w:tc>
          <w:tcPr>
            <w:tcW w:w="0" w:type="dxa"/>
            <w:vAlign w:val="bottom"/>
          </w:tcPr>
          <w:p>
            <w:pPr>
              <w:spacing w:after="0"/>
              <w:rPr>
                <w:sz w:val="1"/>
                <w:szCs w:val="1"/>
                <w:color w:val="auto"/>
              </w:rPr>
            </w:pPr>
          </w:p>
        </w:tc>
      </w:tr>
      <w:tr>
        <w:trPr>
          <w:trHeight w:val="68"/>
        </w:trPr>
        <w:tc>
          <w:tcPr>
            <w:tcW w:w="3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980" w:type="dxa"/>
            <w:vAlign w:val="bottom"/>
            <w:gridSpan w:val="2"/>
            <w:vMerge w:val="continue"/>
            <w:shd w:val="clear" w:color="auto" w:fill="CCEEFF"/>
          </w:tcPr>
          <w:p>
            <w:pPr>
              <w:spacing w:after="0"/>
              <w:rPr>
                <w:sz w:val="5"/>
                <w:szCs w:val="5"/>
                <w:color w:val="auto"/>
              </w:rPr>
            </w:pPr>
          </w:p>
        </w:tc>
        <w:tc>
          <w:tcPr>
            <w:tcW w:w="3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4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 submission</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5"/>
                <w:szCs w:val="25"/>
                <w:color w:val="auto"/>
                <w:vertAlign w:val="superscript"/>
              </w:rPr>
              <w:t>™</w:t>
            </w:r>
          </w:p>
        </w:tc>
        <w:tc>
          <w:tcPr>
            <w:tcW w:w="3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 ALL</w:t>
            </w:r>
          </w:p>
        </w:tc>
        <w:tc>
          <w:tcPr>
            <w:tcW w:w="38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approval</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980" w:type="dxa"/>
            <w:vAlign w:val="bottom"/>
            <w:gridSpan w:val="2"/>
            <w:vMerge w:val="continue"/>
            <w:shd w:val="clear" w:color="auto" w:fill="CCEEFF"/>
          </w:tcPr>
          <w:p>
            <w:pPr>
              <w:spacing w:after="0"/>
              <w:rPr>
                <w:sz w:val="4"/>
                <w:szCs w:val="4"/>
                <w:color w:val="auto"/>
              </w:rPr>
            </w:pPr>
          </w:p>
        </w:tc>
        <w:tc>
          <w:tcPr>
            <w:tcW w:w="38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4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 submission</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Brodalumab</w:t>
            </w:r>
            <w:r>
              <w:rPr>
                <w:rFonts w:ascii="Times New Roman" w:cs="Times New Roman" w:eastAsia="Times New Roman" w:hAnsi="Times New Roman"/>
                <w:sz w:val="25"/>
                <w:szCs w:val="25"/>
                <w:color w:val="auto"/>
                <w:vertAlign w:val="superscript"/>
              </w:rPr>
              <w:t>**</w:t>
            </w:r>
          </w:p>
        </w:tc>
        <w:tc>
          <w:tcPr>
            <w:tcW w:w="12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Moderate-to-severe plaque psoriasis</w:t>
            </w:r>
          </w:p>
        </w:tc>
        <w:tc>
          <w:tcPr>
            <w:tcW w:w="10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Phase 3 data</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 416</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hyperparathyroidism</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Phase 3 data</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 334</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Migraine prophylaxis</w:t>
            </w:r>
          </w:p>
        </w:tc>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Phase 2b data (episodic)</w:t>
            </w:r>
          </w:p>
        </w:tc>
        <w:tc>
          <w:tcPr>
            <w:tcW w:w="0" w:type="dxa"/>
            <w:vAlign w:val="bottom"/>
          </w:tcPr>
          <w:p>
            <w:pPr>
              <w:spacing w:after="0"/>
              <w:rPr>
                <w:sz w:val="1"/>
                <w:szCs w:val="1"/>
                <w:color w:val="auto"/>
              </w:rPr>
            </w:pPr>
          </w:p>
        </w:tc>
      </w:tr>
      <w:tr>
        <w:trPr>
          <w:trHeight w:val="326"/>
        </w:trPr>
        <w:tc>
          <w:tcPr>
            <w:tcW w:w="3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Marketed by Onyx, an Amgen subsidiary</w:t>
            </w: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Developed in collaboration with AstraZeneca</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20" w:lineRule="auto"/>
        <w:rPr>
          <w:sz w:val="20"/>
          <w:szCs w:val="20"/>
          <w:color w:val="auto"/>
        </w:rPr>
      </w:pPr>
      <w:r>
        <w:rPr>
          <w:rFonts w:ascii="Times New Roman" w:cs="Times New Roman" w:eastAsia="Times New Roman" w:hAnsi="Times New Roman"/>
          <w:sz w:val="18"/>
          <w:szCs w:val="18"/>
          <w:color w:val="auto"/>
        </w:rPr>
        <w:t>During 2014, six of our medicines generated positive registration-enabling data and four were submitted for regulatory approval. In December 2014, the FDA approved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Delivery Kit, including the On-body Injector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2014, we also advanced and expanded our biosimilar program, including announcing plans to add three more biosimilar molecules to our portfolio—for a total of nine. Finally, in January 2015, we and Onyx announced the submission of a sNDA to the FDA and an MAA to the EMA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seek approval for the treatment of patients with relapsed multiple myeloma who have received at least one prior therapy.</w:t>
      </w:r>
    </w:p>
    <w:p>
      <w:pPr>
        <w:spacing w:after="0" w:line="119" w:lineRule="exact"/>
        <w:rPr>
          <w:sz w:val="20"/>
          <w:szCs w:val="20"/>
          <w:color w:val="auto"/>
        </w:rPr>
      </w:pPr>
    </w:p>
    <w:p>
      <w:pPr>
        <w:jc w:val="both"/>
        <w:ind w:firstLine="405"/>
        <w:spacing w:after="0" w:line="220" w:lineRule="auto"/>
        <w:rPr>
          <w:sz w:val="20"/>
          <w:szCs w:val="20"/>
          <w:color w:val="auto"/>
        </w:rPr>
      </w:pPr>
      <w:r>
        <w:rPr>
          <w:rFonts w:ascii="Times New Roman" w:cs="Times New Roman" w:eastAsia="Times New Roman" w:hAnsi="Times New Roman"/>
          <w:sz w:val="18"/>
          <w:szCs w:val="18"/>
          <w:color w:val="auto"/>
        </w:rPr>
        <w:t>We believe that we are uniquely positioned for the opportunities arising in biology and to deliver our strategy. We have near- and long-term growth opportunities ahead, including: (i) the approval and launch of new indications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and Europe as well as the approval and launch of several new innovative biologics, including Repatha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brodalumab, (ii) continuing to move into new geographic growth markets and (iii) the development, approval and launch of our biosimilars. We are present in more than 75 countries and, in 2014 we continued to expand into new geographic growth markets, including additional markets in Latin America, the Middle East and Asia.</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announced a restructuring plan during the second half of 2014 that reduces our staff and our facilities footprint by the end of 2015. This restructuring plan allows us to invest in continuing innovation and the launch of our new pipeline molecules while improving our cost structure. We are also advancing a number of key initiatives to streamline processes, increase agility and efficiencies, and improve operating performance. These initiatives include improved contracting and sourcing, rationalizing discretionary spending, greater use of shared services and optimizing R&amp;D efficiency. Also during 2014, we completed facilities construction and entered the licensure process for a Next-Generation Biomanufacturing facility in Singapore which we believe, when licensed, will enable us to increase our manufacturing productivity versus conventional alternatives at lower capital costs and operating expense. Our restructuring plan and our continued focus on increasing cost efficiencies in all areas of the company will enable us to reallocate resources to fund many of our growth opportunities to deliver value to patients and shareholders.</w:t>
      </w:r>
    </w:p>
    <w:p>
      <w:pPr>
        <w:spacing w:after="0" w:line="1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business will continue to face various challenges. Certain of our products will face increasing competitive pressure as a result of competitive product launches. Additionally, certain of the existing patents on our principal products recently expired or will expire this year or over the next few years, and we expect to face increasing competition, including biosimilars. For additional information, including information on the expiration of patents for various products, see Part I, Item 1. Business—Marketing, Distribution and Selected Marketed Products—Patents and see Part I, Item 1. Business—Marketing, Distribution and Selected Marketed Products—Competition.</w:t>
      </w:r>
    </w:p>
    <w:p>
      <w:pPr>
        <w:spacing w:after="0" w:line="10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Current global economic conditions also pose challenges to our business, including continued pressure to reduce healthcare expenditures. Efforts to reduce healthcare costs are being made by third-party payers including governments and private payers. In the United States, various actions have been taken aimed at reducing healthcare spending. The continuing prominence of U.S. budget deficits increases the risk that taxes, fees, rebates, or other federal measures that would further reduce our revenues or increase our expenses may be enacted. As a result of economic conditions, the industry continues to experience significant pricing pressures and other cost containment measures in certain non-U.S. countries also.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long-term success depends to a great extent on our ability to continue to discover, develop and commercialize innovative products and acquire or collaborate on therapies currently in development by other companies. The discovery and development of safe and effective new products, as well as the development of additional indications for existing products, are necessary for the continued strength of our business. We must develop new products over time in order to offset revenue losses when products lose their exclusivity or competing products are launched, as well as in order to provide for revenue and earnings growth. We devote considerable resources to R&amp;D activities. However, successful product development in the biotechnology industry is highly uncertain. We are also confronted by increasing regulatory scrutiny of safety and efficacy both before and after products launch.</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Finally, our product sales can be affected by wholesaler and end-user buying patterns. These effects can cause fluctuations in quarterly product sales. For example, sales of certain of our products in the United States for the three months ended March 31 are usually lower relative to the preceding fourth quarter. These effects have generally not been significant when comparing full-year product performance to the prior year.</w:t>
      </w:r>
    </w:p>
    <w:p>
      <w:pPr>
        <w:spacing w:after="0" w:line="9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Part I, Item 1. Business—Marketing, Distribution and Selected Marketed Products and Part I, Item 1A. Risk Factors for further discussion of certain of the factors that could impact our future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an overview of our results of operations (in millions, except percentages and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275"/>
        </w:trPr>
        <w:tc>
          <w:tcPr>
            <w:tcW w:w="6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3"/>
                <w:szCs w:val="23"/>
                <w:color w:val="auto"/>
              </w:rPr>
            </w:pPr>
          </w:p>
        </w:tc>
        <w:tc>
          <w:tcPr>
            <w:tcW w:w="17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23"/>
                <w:szCs w:val="23"/>
                <w:color w:val="auto"/>
              </w:rPr>
            </w:pPr>
          </w:p>
        </w:tc>
        <w:tc>
          <w:tcPr>
            <w:tcW w:w="14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14,732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14,045</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ROW</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4,595</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4,147</w:t>
            </w:r>
          </w:p>
        </w:tc>
      </w:tr>
      <w:tr>
        <w:trPr>
          <w:trHeight w:val="237"/>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19,327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18,192</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736</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484</w:t>
            </w:r>
          </w:p>
        </w:tc>
      </w:tr>
      <w:tr>
        <w:trPr>
          <w:trHeight w:val="237"/>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20,063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18,676</w:t>
            </w:r>
          </w:p>
        </w:tc>
      </w:tr>
      <w:tr>
        <w:trPr>
          <w:trHeight w:val="27"/>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13,872</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12,809</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6,191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5,867</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5,158</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5,081</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765</w:t>
            </w:r>
          </w:p>
        </w:tc>
      </w:tr>
      <w:tr>
        <w:trPr>
          <w:trHeight w:val="27"/>
        </w:trPr>
        <w:tc>
          <w:tcPr>
            <w:tcW w:w="6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following discussion of changes in product sales, any reference to unit growth or decline refers to changes in the purchases of our products by healthcare providers, such as physicians or their clinics, dialysis centers, hospitals and pharmacies.</w:t>
      </w:r>
    </w:p>
    <w:p>
      <w:pPr>
        <w:spacing w:after="0" w:line="81" w:lineRule="exact"/>
        <w:rPr>
          <w:sz w:val="20"/>
          <w:szCs w:val="20"/>
          <w:color w:val="auto"/>
        </w:rPr>
      </w:pPr>
    </w:p>
    <w:p>
      <w:pPr>
        <w:jc w:val="both"/>
        <w:ind w:firstLine="405"/>
        <w:spacing w:after="0" w:line="225" w:lineRule="auto"/>
        <w:rPr>
          <w:sz w:val="20"/>
          <w:szCs w:val="20"/>
          <w:color w:val="auto"/>
        </w:rPr>
      </w:pPr>
      <w:r>
        <w:rPr>
          <w:rFonts w:ascii="Times New Roman" w:cs="Times New Roman" w:eastAsia="Times New Roman" w:hAnsi="Times New Roman"/>
          <w:sz w:val="18"/>
          <w:szCs w:val="18"/>
          <w:color w:val="auto"/>
        </w:rPr>
        <w:t>The increase in U.S. product sales for 2014 reflects growth across the portfolio except for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declined 28%. This overall growth was driven primarily by increases in average net sales prices and, to a lesser extent, unit growth, offset partially by a decline in wholesaler and, based on prescription data for ENBREL and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end-user inventory levels. Also, 2014 included a full year of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sales as a result of the Onyx acquisition on October 1, 2013. The increase in ROW product sales for 2014 reflects growth primarily in our marketed products except ENBREL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declined 4% and 2%, respectively. The ROW increase was driven by unit growth, offset partially by declines in average net sales prices.</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other revenues for 2014 was due primarily to a full year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collaboration revenues as a result of the Onyx acquisition.</w:t>
      </w:r>
    </w:p>
    <w:p>
      <w:pPr>
        <w:spacing w:after="0" w:line="6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operating expenses for 2014 was driven primarily by cost of sales and restructuring charges, offset partially by the end of the ENBREL profit share on October 31, 2013.</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net income for 2014 was due primarily to higher operating income, offset partially by a higher effective income tax rate.</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diluted EPS for 2014 was driven primarily by an increase in net income offset partially by an increase in diluted shares.</w:t>
      </w:r>
    </w:p>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Although changes in foreign currency exchange rates result in increases or decreases in our reported international product sales, the benefit or detriment that such movements have on our international product sales is offset partially by corresponding increases or decreases in our international operating expenses and our related foreign currency hedging activities. Our hedging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activities seek to offset the impacts, both positive and negative, that foreign currency exchange rate changes may have on our net income by hedging our net foreign currency exposure, primarily with respect to product sales denominated in euros. The net impact from changes in foreign currency exchange rates was not material in 2014, 2013 or 2012.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Worldwide product sales were as follows (dollar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4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69"/>
        </w:trPr>
        <w:tc>
          <w:tcPr>
            <w:tcW w:w="40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5,790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5,352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70"/>
        </w:trPr>
        <w:tc>
          <w:tcPr>
            <w:tcW w:w="4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70"/>
        </w:trPr>
        <w:tc>
          <w:tcPr>
            <w:tcW w:w="4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p>
        </w:tc>
        <w:tc>
          <w:tcPr>
            <w:tcW w:w="1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products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19,327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18,192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16,639</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 U.S.</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ROW</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57"/>
        </w:trPr>
        <w:tc>
          <w:tcPr>
            <w:tcW w:w="4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19,327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18,192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16,639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Future sales of our products will depend, in part, on the factors discussed in the Overview, Part 1—Item 1. Business—Marketing, Distribution and Selected Marketed Products—Competition, Part 1—Item 1A. Risk Factors and any additional factors discussed in the individual product sections below. In addition, for a list of our products' significant competitors, see Part 1—Item 1. Business—Marketing, Distribution and Selected Marketed Products— Competition.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/NEUPOGEN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total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69"/>
        </w:trPr>
        <w:tc>
          <w:tcPr>
            <w:tcW w:w="40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3,649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3,499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3,207</w:t>
            </w:r>
          </w:p>
        </w:tc>
      </w:tr>
      <w:tr>
        <w:trPr>
          <w:trHeight w:val="270"/>
        </w:trPr>
        <w:tc>
          <w:tcPr>
            <w:tcW w:w="40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947</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885</w:t>
            </w:r>
          </w:p>
        </w:tc>
      </w:tr>
      <w:tr>
        <w:trPr>
          <w:trHeight w:val="264"/>
        </w:trPr>
        <w:tc>
          <w:tcPr>
            <w:tcW w:w="402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4,596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4,392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4,092</w:t>
            </w:r>
          </w:p>
        </w:tc>
      </w:tr>
      <w:tr>
        <w:trPr>
          <w:trHeight w:val="264"/>
        </w:trPr>
        <w:tc>
          <w:tcPr>
            <w:tcW w:w="402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18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1,007</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253</w:t>
            </w:r>
          </w:p>
        </w:tc>
      </w:tr>
      <w:tr>
        <w:trPr>
          <w:trHeight w:val="264"/>
        </w:trPr>
        <w:tc>
          <w:tcPr>
            <w:tcW w:w="4020" w:type="dxa"/>
            <w:vAlign w:val="bottom"/>
            <w:tcBorders>
              <w:bottom w:val="single" w:sz="8" w:color="CCEEFF"/>
            </w:tcBorders>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NEUPOGEN</w:t>
            </w:r>
            <w:r>
              <w:rPr>
                <w:rFonts w:ascii="Times New Roman" w:cs="Times New Roman" w:eastAsia="Times New Roman" w:hAnsi="Times New Roman"/>
                <w:sz w:val="25"/>
                <w:szCs w:val="25"/>
                <w:color w:val="auto"/>
                <w:vertAlign w:val="superscript"/>
              </w:rPr>
              <w:t>®</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1,159</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1,260</w:t>
            </w:r>
          </w:p>
        </w:tc>
      </w:tr>
      <w:tr>
        <w:trPr>
          <w:trHeight w:val="264"/>
        </w:trPr>
        <w:tc>
          <w:tcPr>
            <w:tcW w:w="402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5,352</w:t>
            </w: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86"/>
        <w:spacing w:after="0" w:line="198" w:lineRule="auto"/>
        <w:rPr>
          <w:sz w:val="20"/>
          <w:szCs w:val="20"/>
          <w:color w:val="auto"/>
        </w:rPr>
      </w:pPr>
      <w:r>
        <w:rPr>
          <w:rFonts w:ascii="Times New Roman" w:cs="Times New Roman" w:eastAsia="Times New Roman" w:hAnsi="Times New Roman"/>
          <w:sz w:val="18"/>
          <w:szCs w:val="18"/>
          <w:color w:val="auto"/>
        </w:rPr>
        <w:t>The increase in global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was driven primarily by an increase in the average net sales price in the United States. The decrease in global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was driven by the $155-million order from the U.S. government in 2013. Excluding the special order, U.S. and global sales declined 17% and 7%, respectively, which reflected decreases in unit demand in the United States, offset partially by the increased sales as a result of acquiring rights to filgrastim in certain regions effective January 1, 2014. In December 2014, the FDA granted approval of the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Delivery Kit, including the On-body Injector for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enables the healthcare provider to initiate administration of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on the same day as cytotoxic chemotherapy with delivery of the patient’s full dose of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the day following chemotherapy administration, consistent with the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prescribing information.</w:t>
      </w:r>
    </w:p>
    <w:p>
      <w:pPr>
        <w:spacing w:after="0" w:line="120" w:lineRule="exact"/>
        <w:rPr>
          <w:sz w:val="20"/>
          <w:szCs w:val="20"/>
          <w:color w:val="auto"/>
        </w:rPr>
      </w:pPr>
    </w:p>
    <w:p>
      <w:pPr>
        <w:jc w:val="both"/>
        <w:ind w:firstLine="486"/>
        <w:spacing w:after="0" w:line="229" w:lineRule="auto"/>
        <w:rPr>
          <w:sz w:val="20"/>
          <w:szCs w:val="20"/>
          <w:color w:val="auto"/>
        </w:rPr>
      </w:pPr>
      <w:r>
        <w:rPr>
          <w:rFonts w:ascii="Times New Roman" w:cs="Times New Roman" w:eastAsia="Times New Roman" w:hAnsi="Times New Roman"/>
          <w:sz w:val="18"/>
          <w:szCs w:val="18"/>
          <w:color w:val="auto"/>
        </w:rPr>
        <w:t>The increase in global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2013 was driven by an increase in the average net sales price in the United States, offset partially by a decline in units. The increase in global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2013 was driven by the $155-million order</w:t>
      </w:r>
    </w:p>
    <w:p>
      <w:pPr>
        <w:sectPr>
          <w:pgSz w:w="11900" w:h="16838" w:orient="portrait"/>
          <w:cols w:equalWidth="0" w:num="1">
            <w:col w:w="11420"/>
          </w:cols>
          <w:pgMar w:left="240" w:top="580"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type w:val="continuous"/>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from the U.S. government. Excluding the special order, U.S. sales grew only 1% and global sales declined 1%. Units declined in 2013 in both the United States and ROW.</w:t>
      </w:r>
    </w:p>
    <w:p>
      <w:pPr>
        <w:spacing w:after="0" w:line="81" w:lineRule="exact"/>
        <w:rPr>
          <w:sz w:val="20"/>
          <w:szCs w:val="20"/>
          <w:color w:val="auto"/>
        </w:rPr>
      </w:pPr>
    </w:p>
    <w:p>
      <w:pPr>
        <w:jc w:val="both"/>
        <w:ind w:firstLine="486"/>
        <w:spacing w:after="0" w:line="212" w:lineRule="auto"/>
        <w:rPr>
          <w:sz w:val="20"/>
          <w:szCs w:val="20"/>
          <w:color w:val="auto"/>
        </w:rPr>
      </w:pPr>
      <w:r>
        <w:rPr>
          <w:rFonts w:ascii="Times New Roman" w:cs="Times New Roman" w:eastAsia="Times New Roman" w:hAnsi="Times New Roman"/>
          <w:sz w:val="18"/>
          <w:szCs w:val="18"/>
          <w:color w:val="auto"/>
        </w:rPr>
        <w:t>Our material U.S. patents for filgrastim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expired in December 2013. We face competition in the United States, which could have an impact over time on future sales of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 a lesser extent,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Our outstanding material U.S. patent for pegfilgrastim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expires in 2015. Apotex, Inc. announced that the FDA accepted for filing their applications, under the abbreviated pathway, for pegfilgrastim, a biosimilar version of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on December 17, 2014, and for filgrastim, a biosimilar version of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on February 17, 2015. On January 7, 2015, Sandoz, a Novartis company, announced that the FDA ODAC recommended approval of its investigational biosimilar filgrastim. The Sandoz biosimilar filgrastim is the subject of ongoing litigation between us and Sandoz.</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Part 1, Item 1. Business—Marketing, Distribution and Selected Marketed Products—Competition and Part IV—Note 18, Contingencies and commitments, to the Consolidated Financial Statements.</w:t>
      </w:r>
    </w:p>
    <w:p>
      <w:pPr>
        <w:spacing w:after="0" w:line="81"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Future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will also depend, in part, on the development of new protocols, tests and/or treatments for cancer and/or new chemotherapy treatments or alternatives to chemotherapy that may have reduced and may continue to reduce the use of chemotherapy in some patients.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ENBREL sales by geographic region were as follows (dollar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90"/>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ENBREL — 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4,404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3,967</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 — Canada</w:t>
            </w: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ENBREL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4,688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4,236</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increase in ENBREL sales for 2014 was driven primarily by an increase in the average net sales price offset partially by unfavorable changes in wholesaler and, based on prescription data, end-user inventories.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ENBREL sales for 2013 was driven primarily by an increase in the average net sales price offset partially by slight unit declines.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XGEVA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and Prolia</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total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69"/>
        </w:trPr>
        <w:tc>
          <w:tcPr>
            <w:tcW w:w="40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644</w:t>
            </w:r>
          </w:p>
        </w:tc>
      </w:tr>
      <w:tr>
        <w:trPr>
          <w:trHeight w:val="270"/>
        </w:trPr>
        <w:tc>
          <w:tcPr>
            <w:tcW w:w="40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w:t>
            </w:r>
          </w:p>
        </w:tc>
      </w:tr>
      <w:tr>
        <w:trPr>
          <w:trHeight w:val="264"/>
        </w:trPr>
        <w:tc>
          <w:tcPr>
            <w:tcW w:w="404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1,221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748</w:t>
            </w:r>
          </w:p>
        </w:tc>
      </w:tr>
      <w:tr>
        <w:trPr>
          <w:trHeight w:val="264"/>
        </w:trPr>
        <w:tc>
          <w:tcPr>
            <w:tcW w:w="40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tcPr>
          <w:p>
            <w:pPr>
              <w:spacing w:after="0"/>
              <w:rPr>
                <w:sz w:val="22"/>
                <w:szCs w:val="22"/>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292</w:t>
            </w:r>
          </w:p>
        </w:tc>
      </w:tr>
      <w:tr>
        <w:trPr>
          <w:trHeight w:val="270"/>
        </w:trPr>
        <w:tc>
          <w:tcPr>
            <w:tcW w:w="40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w:t>
            </w:r>
          </w:p>
        </w:tc>
      </w:tr>
      <w:tr>
        <w:trPr>
          <w:trHeight w:val="264"/>
        </w:trPr>
        <w:tc>
          <w:tcPr>
            <w:tcW w:w="4040" w:type="dxa"/>
            <w:vAlign w:val="bottom"/>
            <w:tcBorders>
              <w:bottom w:val="single" w:sz="8" w:color="CCEEFF"/>
            </w:tcBorders>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Prolia</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1,030</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472</w:t>
            </w:r>
          </w:p>
        </w:tc>
      </w:tr>
      <w:tr>
        <w:trPr>
          <w:trHeight w:val="264"/>
        </w:trPr>
        <w:tc>
          <w:tcPr>
            <w:tcW w:w="40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2,251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1,220</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increases in global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and 2013 were driven primarily by unit growth.</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i w:val="1"/>
          <w:iCs w:val="1"/>
          <w:color w:val="auto"/>
        </w:rPr>
        <w:t>EPOGEN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were as follows (dollar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69"/>
        </w:trPr>
        <w:tc>
          <w:tcPr>
            <w:tcW w:w="40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2,031</w:t>
            </w:r>
          </w:p>
        </w:tc>
        <w:tc>
          <w:tcPr>
            <w:tcW w:w="1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1,941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was driven by an increase in the average net sales price offset partially by unit declines.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2013 increased by 1% due to unit growth.</w:t>
      </w:r>
    </w:p>
    <w:p>
      <w:pPr>
        <w:spacing w:after="0" w:line="64" w:lineRule="exact"/>
        <w:rPr>
          <w:sz w:val="20"/>
          <w:szCs w:val="20"/>
          <w:color w:val="auto"/>
        </w:rPr>
      </w:pPr>
    </w:p>
    <w:p>
      <w:pPr>
        <w:jc w:val="both"/>
        <w:ind w:firstLine="432"/>
        <w:spacing w:after="0" w:line="199" w:lineRule="auto"/>
        <w:rPr>
          <w:sz w:val="20"/>
          <w:szCs w:val="20"/>
          <w:color w:val="auto"/>
        </w:rPr>
      </w:pPr>
      <w:r>
        <w:rPr>
          <w:rFonts w:ascii="Times New Roman" w:cs="Times New Roman" w:eastAsia="Times New Roman" w:hAnsi="Times New Roman"/>
          <w:sz w:val="18"/>
          <w:szCs w:val="18"/>
          <w:color w:val="auto"/>
        </w:rPr>
        <w:t>Our remaining material U.S. patent for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expires in May 2015. As a result, we may face competition in the United States, which may have a material adverse impact over time on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In addition,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will face competition from the launch of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Roche began selling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October 2014 in the United States under terms of a limited patent license obtained from Amgen in connection with the settlement of patent litigation.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competes with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nephrology segment only. On December 16, 2014, Hospira, Inc. submitted a BLA to the FDA for Retacrit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proposed biosimilar to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under the abbreviated pathway.</w:t>
      </w:r>
    </w:p>
    <w:p>
      <w:pPr>
        <w:spacing w:after="0" w:line="24"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In addition, future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will also depend, in part, on such factors as response to changes in reimbursement, including the reduction to the ESRD payment bundle effective January 1, 2014, and changes in dose utilization as healthcare providers continue to refine their treatment practices in accordance with approved labeling. See Part 1, Item 1. Business—Marketing, Distribution and Selected Marketed Products—Competition.</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Aranesp</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69"/>
        </w:trPr>
        <w:tc>
          <w:tcPr>
            <w:tcW w:w="40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794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782</w:t>
            </w: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1,136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1,258</w:t>
            </w:r>
          </w:p>
        </w:tc>
      </w:tr>
      <w:tr>
        <w:trPr>
          <w:trHeight w:val="264"/>
        </w:trPr>
        <w:tc>
          <w:tcPr>
            <w:tcW w:w="400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1,930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2,040</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32"/>
        <w:spacing w:after="0" w:line="229" w:lineRule="auto"/>
        <w:rPr>
          <w:sz w:val="20"/>
          <w:szCs w:val="20"/>
          <w:color w:val="auto"/>
        </w:rPr>
      </w:pPr>
      <w:r>
        <w:rPr>
          <w:rFonts w:ascii="Times New Roman" w:cs="Times New Roman" w:eastAsia="Times New Roman" w:hAnsi="Times New Roman"/>
          <w:sz w:val="18"/>
          <w:szCs w:val="18"/>
          <w:color w:val="auto"/>
        </w:rPr>
        <w:t>The increase in U.S.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was driven by an increase in the average net sales price and, to a lesser extent, unit demand. The decrease in ROW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reflects price declines offset partially by unit demand in international markets.</w:t>
      </w:r>
    </w:p>
    <w:p>
      <w:pPr>
        <w:spacing w:after="0" w:line="19"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8"/>
          <w:szCs w:val="18"/>
          <w:color w:val="auto"/>
        </w:rPr>
        <w:t>The decrease in U.S.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2013 was driven by declines in unit demand. The unit declines reflect changes in practice patterns resulting from changes to the label and to the reimbursement environment that occurred during 2011.</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ROW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2013 reflects unit declines and price pressure in Europe.</w:t>
      </w:r>
    </w:p>
    <w:p>
      <w:pPr>
        <w:spacing w:after="0" w:line="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Sensipar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/Mimpara</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90"/>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40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69"/>
        </w:trPr>
        <w:tc>
          <w:tcPr>
            <w:tcW w:w="40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796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757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639</w:t>
            </w:r>
          </w:p>
        </w:tc>
      </w:tr>
      <w:tr>
        <w:trPr>
          <w:trHeight w:val="270"/>
        </w:trPr>
        <w:tc>
          <w:tcPr>
            <w:tcW w:w="40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362</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332</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311</w:t>
            </w:r>
          </w:p>
        </w:tc>
      </w:tr>
      <w:tr>
        <w:trPr>
          <w:trHeight w:val="264"/>
        </w:trPr>
        <w:tc>
          <w:tcPr>
            <w:tcW w:w="404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1,158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The increases in global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2014 and 2013 were driven primarily by unit growth and increases in the average net sales price in the United States; however, the increases in 2014 were offset partially by unfavorable changes in U.S. wholesaler and, based on prescription data, end-user inventories.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8" w:right="23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product sales by geographic region were as follows (dollar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39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69"/>
        </w:trPr>
        <w:tc>
          <w:tcPr>
            <w:tcW w:w="39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23"/>
                <w:szCs w:val="23"/>
                <w:color w:val="auto"/>
              </w:rPr>
            </w:pPr>
          </w:p>
        </w:tc>
        <w:tc>
          <w:tcPr>
            <w:tcW w:w="1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23"/>
                <w:szCs w:val="23"/>
                <w:color w:val="auto"/>
              </w:rPr>
            </w:pP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23"/>
                <w:szCs w:val="23"/>
                <w:color w:val="auto"/>
              </w:rPr>
            </w:pPr>
          </w:p>
        </w:tc>
        <w:tc>
          <w:tcPr>
            <w:tcW w:w="152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23"/>
                <w:szCs w:val="23"/>
                <w:color w:val="auto"/>
              </w:rPr>
            </w:pPr>
          </w:p>
        </w:tc>
        <w:tc>
          <w:tcPr>
            <w:tcW w:w="1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shd w:val="clear" w:color="auto" w:fill="CCEEFF"/>
          </w:tcPr>
          <w:p>
            <w:pPr>
              <w:spacing w:after="0"/>
              <w:rPr>
                <w:sz w:val="23"/>
                <w:szCs w:val="23"/>
                <w:color w:val="auto"/>
              </w:rPr>
            </w:pPr>
          </w:p>
        </w:tc>
        <w:tc>
          <w:tcPr>
            <w:tcW w:w="152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23"/>
                <w:szCs w:val="23"/>
                <w:color w:val="auto"/>
              </w:rPr>
            </w:pP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23"/>
                <w:szCs w:val="23"/>
                <w:color w:val="auto"/>
              </w:rPr>
            </w:pPr>
          </w:p>
        </w:tc>
        <w:tc>
          <w:tcPr>
            <w:tcW w:w="152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3"/>
                <w:szCs w:val="23"/>
                <w:color w:val="auto"/>
              </w:rPr>
            </w:pPr>
          </w:p>
        </w:tc>
        <w:tc>
          <w:tcPr>
            <w:tcW w:w="148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 ROW</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21"/>
                <w:szCs w:val="21"/>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21"/>
                <w:szCs w:val="21"/>
                <w:color w:val="auto"/>
              </w:rPr>
            </w:pPr>
          </w:p>
        </w:tc>
        <w:tc>
          <w:tcPr>
            <w:tcW w:w="152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product sales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 U.S. — other products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tcPr>
          <w:p>
            <w:pPr>
              <w:spacing w:after="0"/>
              <w:rPr>
                <w:sz w:val="20"/>
                <w:szCs w:val="20"/>
                <w:color w:val="auto"/>
              </w:rPr>
            </w:pP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20"/>
                <w:szCs w:val="20"/>
                <w:color w:val="auto"/>
              </w:rPr>
            </w:pPr>
          </w:p>
        </w:tc>
        <w:tc>
          <w:tcPr>
            <w:tcW w:w="152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ROW — other products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4"/>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57"/>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product sales</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Borders>
              <w:top w:val="single" w:sz="8" w:color="auto"/>
              <w:bottom w:val="single" w:sz="8" w:color="auto"/>
            </w:tcBorders>
          </w:tcPr>
          <w:p>
            <w:pPr>
              <w:spacing w:after="0"/>
              <w:rPr>
                <w:sz w:val="22"/>
                <w:szCs w:val="22"/>
                <w:color w:val="auto"/>
              </w:rPr>
            </w:pP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60" w:type="dxa"/>
            <w:vAlign w:val="bottom"/>
            <w:tcBorders>
              <w:top w:val="single" w:sz="8" w:color="auto"/>
              <w:bottom w:val="single" w:sz="8" w:color="auto"/>
            </w:tcBorders>
          </w:tcPr>
          <w:p>
            <w:pPr>
              <w:spacing w:after="0"/>
              <w:rPr>
                <w:sz w:val="22"/>
                <w:szCs w:val="22"/>
                <w:color w:val="auto"/>
              </w:rPr>
            </w:pPr>
          </w:p>
        </w:tc>
        <w:tc>
          <w:tcPr>
            <w:tcW w:w="152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Change in excess of 100%</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Operating expenses were as follows (dollar amounts 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92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275"/>
        </w:trPr>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3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4,422</w:t>
            </w:r>
          </w:p>
        </w:tc>
        <w:tc>
          <w:tcPr>
            <w:tcW w:w="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3,346</w:t>
            </w:r>
          </w:p>
        </w:tc>
        <w:tc>
          <w:tcPr>
            <w:tcW w:w="60" w:type="dxa"/>
            <w:vAlign w:val="bottom"/>
          </w:tcPr>
          <w:p>
            <w:pPr>
              <w:spacing w:after="0"/>
              <w:rPr>
                <w:sz w:val="21"/>
                <w:szCs w:val="21"/>
                <w:color w:val="auto"/>
              </w:rPr>
            </w:pPr>
          </w:p>
        </w:tc>
        <w:tc>
          <w:tcPr>
            <w:tcW w:w="14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Pr>
          <w:p>
            <w:pPr>
              <w:spacing w:after="0"/>
              <w:rPr>
                <w:sz w:val="21"/>
                <w:szCs w:val="21"/>
                <w:color w:val="auto"/>
              </w:rPr>
            </w:pP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of product sales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3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of total revenues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4,297</w:t>
            </w: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4,083</w:t>
            </w: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43"/>
        </w:trPr>
        <w:tc>
          <w:tcPr>
            <w:tcW w:w="3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of product sales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of 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4,699</w:t>
            </w:r>
          </w:p>
        </w:tc>
        <w:tc>
          <w:tcPr>
            <w:tcW w:w="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5,184</w:t>
            </w:r>
          </w:p>
        </w:tc>
        <w:tc>
          <w:tcPr>
            <w:tcW w:w="60" w:type="dxa"/>
            <w:vAlign w:val="bottom"/>
          </w:tcPr>
          <w:p>
            <w:pPr>
              <w:spacing w:after="0"/>
              <w:rPr>
                <w:sz w:val="21"/>
                <w:szCs w:val="21"/>
                <w:color w:val="auto"/>
              </w:rPr>
            </w:pPr>
          </w:p>
        </w:tc>
        <w:tc>
          <w:tcPr>
            <w:tcW w:w="148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8 %</w:t>
            </w:r>
          </w:p>
        </w:tc>
        <w:tc>
          <w:tcPr>
            <w:tcW w:w="40" w:type="dxa"/>
            <w:vAlign w:val="bottom"/>
          </w:tcPr>
          <w:p>
            <w:pPr>
              <w:spacing w:after="0"/>
              <w:rPr>
                <w:sz w:val="21"/>
                <w:szCs w:val="21"/>
                <w:color w:val="auto"/>
              </w:rPr>
            </w:pP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of product sales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3"/>
        </w:trPr>
        <w:tc>
          <w:tcPr>
            <w:tcW w:w="39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of total revenues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announced a restructuring plan during the second half of 2014 to invest in continuing innovation and the launch of our new pipeline molecules while improving our cost structure. As part of the plan, we stated that we would reduce our staff by 3,500 to 4,000 by the end of 2015 and close our facilities in Washington state and Colorado and reduce the number of buildings at our headquarters in Thousand Oaks, California. Company-wide, these actions will result in an approximate 23% reduction in our facilities footprint.</w:t>
      </w:r>
    </w:p>
    <w:p>
      <w:pPr>
        <w:spacing w:after="0" w:line="9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that these actions will result in pre-tax accounting charges in the range of $935 million to $1,035 million. During the year ended December 31, 2014, we initiated the above-noted actions and incurred $558 million of restructuring costs. We expect that substantially all remaining restructuring actions and related estimated costs will be incurred in 2015.</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78" w:right="239" w:bottom="1440" w:gutter="0" w:footer="0" w:header="0"/>
        </w:sectPr>
      </w:pPr>
    </w:p>
    <w:bookmarkStart w:id="50" w:name="page51"/>
    <w:bookmarkEnd w:id="50"/>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Net savings were not significant in 2014 due to investments in later stage clinical programs, new product launch preparation and external business development.</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Additional information required for our restructuring plan is incorporated herein by reference to Part IV—Note 2, Restructuring and other cost savings initiatives, to the Consolidated Financial Statements.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Cost of sales increased to 22.0% of total revenues for 2014, driven by acquisition-related expenses that included an increase of $642 million of non-cash amortization of intangible assets acquired in the Onyx acquisition. The year ended December 31, 2014, also included impairment and accelerated depreciation charges pursuant to our restructuring initiative of $104 million and a $99-million charge related to the termination of the supply contract with Roche as a result of acquiring the licenses to filgrastim and pegfilgrastim effective January 1, 2014.</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Cost of sales decreased to 17.9% of total revenues for 2013, driven primarily by lower royalties and higher average net sales prices, offset partially by changes in product mix. The excise tax imposed by Puerto Rico on the gross intercompany purchase price of goods and services from our manufacturer in Puerto Rico (Puerto Rico excise tax) also slightly contributed to the decrease. The rate was 3.75% in 2012, 2.75% in the first half of 2013 and 4.0% effective July 1, 2013 through December 31, 2017. See Part IV—Note 5, Income taxes, to the Consolidated Financial Statements for further discussion of the Puerto Rico excise tax.</w:t>
      </w:r>
    </w:p>
    <w:p>
      <w:pPr>
        <w:spacing w:after="0" w:line="103" w:lineRule="exact"/>
        <w:rPr>
          <w:sz w:val="20"/>
          <w:szCs w:val="20"/>
          <w:color w:val="auto"/>
        </w:rPr>
      </w:pPr>
    </w:p>
    <w:p>
      <w:pPr>
        <w:ind w:left="440" w:right="40"/>
        <w:spacing w:after="0" w:line="407" w:lineRule="auto"/>
        <w:rPr>
          <w:sz w:val="20"/>
          <w:szCs w:val="20"/>
          <w:color w:val="auto"/>
        </w:rPr>
      </w:pPr>
      <w:r>
        <w:rPr>
          <w:rFonts w:ascii="Times New Roman" w:cs="Times New Roman" w:eastAsia="Times New Roman" w:hAnsi="Times New Roman"/>
          <w:sz w:val="18"/>
          <w:szCs w:val="18"/>
          <w:color w:val="auto"/>
        </w:rPr>
        <w:t xml:space="preserve">Excluding the impact of the excise tax, cost of sales would have been 20.1%, 16.0% and 16.5% of total revenues for 2014, 2013 and 2012, respectively. </w:t>
      </w:r>
      <w:r>
        <w:rPr>
          <w:rFonts w:ascii="Times New Roman" w:cs="Times New Roman" w:eastAsia="Times New Roman" w:hAnsi="Times New Roman"/>
          <w:sz w:val="18"/>
          <w:szCs w:val="18"/>
          <w:i w:val="1"/>
          <w:iCs w:val="1"/>
          <w:color w:val="auto"/>
        </w:rPr>
        <w:t>Research and development</w:t>
      </w: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R&amp;D costs are expensed as incurred and include primarily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K-A and third-party R&amp;D arrangements, including upfront fees and milestones paid to third parties in connection with technologies which had not reached technological feasibility and did not have an alternative future use. Net payment or reimbursement of R&amp;D costs is recognized when the obligations are incurred or as we become entitled to the cost recovery.</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groups all of its R&amp;D activities and related expenditures into three categories: (1) Discovery Research and Translational Sciences (DRTS), (2) later stage clinical programs and (3) marketed products. These categories include the Company’s R&amp;D activities as set forth in the following table: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DRTS</w:t>
            </w: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 incurred in activities substantially in support of early research through the completion of</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phase 1 clinical trials. These activities encompass our DRTS functions, including drug discovery,</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toxicology, pharmacokinetics and drug metabolism, and process development.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Later stage clinical programs</w:t>
            </w:r>
          </w:p>
        </w:tc>
        <w:tc>
          <w:tcPr>
            <w:tcW w:w="76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R&amp;D expenses incurred in or related to phase 2 and phase 3 clinical programs intended to result in</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registration of a new product or a new indication for an existing product in the United States or the EU.</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600" w:type="dxa"/>
            <w:vAlign w:val="bottom"/>
            <w:gridSpan w:val="2"/>
          </w:tcPr>
          <w:p>
            <w:pPr>
              <w:spacing w:after="0"/>
              <w:rPr>
                <w:sz w:val="2"/>
                <w:szCs w:val="2"/>
                <w:color w:val="auto"/>
              </w:rPr>
            </w:pPr>
          </w:p>
        </w:tc>
        <w:tc>
          <w:tcPr>
            <w:tcW w:w="17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Marketed products</w:t>
            </w: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 incurred in support of the Company’s marketed products that are authorized to be sold in</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United States or the EU. Includes clinical trials designed to gather information on product safety</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of which may be required by regulatory authorities) and their product characteristics after</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approval has been obtained, as well as the costs of obtaining regulatory approval of a product</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 new market after approval in either the United States or the EU has been obtained.</w:t>
            </w: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8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R&amp;D expense by category was as follows (in millions):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DRTS</w:t>
            </w:r>
          </w:p>
        </w:tc>
        <w:tc>
          <w:tcPr>
            <w:tcW w:w="3020" w:type="dxa"/>
            <w:vAlign w:val="bottom"/>
            <w:tcBorders>
              <w:bottom w:val="single" w:sz="8" w:color="CCEEFF"/>
            </w:tcBorders>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1,212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Later stage clinical programs</w:t>
            </w:r>
          </w:p>
        </w:tc>
        <w:tc>
          <w:tcPr>
            <w:tcW w:w="2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Marketed products</w:t>
            </w:r>
          </w:p>
        </w:tc>
        <w:tc>
          <w:tcPr>
            <w:tcW w:w="2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R&amp;D expense</w:t>
            </w:r>
          </w:p>
        </w:tc>
        <w:tc>
          <w:tcPr>
            <w:tcW w:w="262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increase in R&amp;D expense for 2014 was driven primarily by increased costs of $326 million associated with Onyx across all categories of R&amp;D spend, as well as increased costs associated with other later stage clinical program support. Overall, costs associated with later stage clinical programs support increased $337 million, offset partially by reduced expenses associated with marketed products support of $102 million and DRTS activities of $21 million. DRTS expenses included a $60 million upfront payment related to our cancer immunotherapy collaboration with Kite Pharma, Inc.</w:t>
      </w:r>
    </w:p>
    <w:p>
      <w:pPr>
        <w:spacing w:after="0" w:line="99"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The increase in R&amp;D expense for 2013 was driven primarily by an increase of $665 million in our later stage clinical programs, including evolocumab and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an increase of $96 million in DRTS activities, offset partially by reduced expenses associated with marketed products support of $58 million.</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SG&amp;A expenses are comprised primarily of salaries, benefits and other staff-related costs associated with sales and marketing, finance, legal and other administrative personnel; facilities and overhead costs; outside marketing, advertising and legal expenses; the BPD fee; and other general and administrative costs. Advertising costs are expensed as incurred. SG&amp;A expenses also include costs and cost recoveries associated with marketing and promotion efforts under certain collaboration arrangements. Net payment or reimbursement of SG&amp;A costs is recognized when the obligations are incurred or we become entitled to the cost recovery.</w:t>
      </w:r>
    </w:p>
    <w:p>
      <w:pPr>
        <w:spacing w:after="0" w:line="10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decrease in SG&amp;A expense for 2014 was driven primarily by the expiration of the ENBREL profit share in October 2013, which reduced expenses by $818 million. That decline was offset partially by the addition of $183 million as a result of the Onyx acquisition, an additional $129 million accrual for the BPD fee as the final regulations accelerated the expense recognition criteria for the fee obligation by one year and increased commercial expenses of $109 million in preparation for new product launches.</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Historically, under our ENBREL collaboration agreement, we paid Pfizer a percentage of annual gross profits on our ENBREL sales in the United States and Canada on a scale that increased with gross profits. The ENBREL co-promotion term expired on October 31, 2013, and we are required to pay Pfizer residual royalties on a declining percentage of net ENBREL sales in the United States and Canada. The royalty percentage was 12% through October 31, 2014, declining to 11% through October 31, 2015 and 10% through October 31, 2016.</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increase in SG&amp;A expense for 2013 was driven primarily by the addition of Onyx of $276 million, of which $215 million was acquisition-related. Included in these costs are advisory, legal and regulatory costs, and compensation-related payments. The compensation payments include cash payments for accelerated vesting of equity awards as part of the acquisition that were previously granted under the Onyx equity award programs which would not have otherwise vested. SG&amp;A also increased by $98 million related primarily to favorable changes in 2012 to the estimated BPD fee.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operating expenses for 2014 included certain charges related to our restructuring plan, primarily separation costs of $377 million. It also included a $46 million write-off of a non-key IPR&amp;D program acquired in a prior year business combination.</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operating expenses for 2013 included $113 million of adjustments to our estimated contingent consideration liability related to the BioVex Group, Inc. (BioVex) business combination, certain charges related to our other cost savings initiatives of $71 million, which included severance expenses, and $12 million of other charges related primarily to legal proceedings.</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operating expenses for 2012 included charges of $175 million related to our other cost savings initiatives, which included severance and expenses associated with abandoning leased facilities, legal charges of $64 million and other operating expenses of $56 million, comprised primarily of adjustments to our estimated contingent consideration liability related to the BioVex business combination.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expenses/income and provision for income taxes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Non-operating expenses/income and provision for income taxes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34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1,053</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3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3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4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621"/>
        </w:trPr>
        <w:tc>
          <w:tcPr>
            <w:tcW w:w="3900" w:type="dxa"/>
            <w:vAlign w:val="bottom"/>
          </w:tcPr>
          <w:p>
            <w:pPr>
              <w:spacing w:after="0"/>
              <w:rPr>
                <w:sz w:val="24"/>
                <w:szCs w:val="24"/>
                <w:color w:val="auto"/>
              </w:rPr>
            </w:pP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net in 2014 was due primarily to a higher average balance of debt outstanding offset partially by lower average borrowing rates compared with 2013. The decrease in interest expense, net in 2013 compared with 2012 was due primarily to the decrease in non-cash interest resulting from the settlement of our 0.375% 2013 Convertible Notes in February 2013 offset partially by increases resulting from the higher average balance of other outstanding debt and financing fees paid in association with the acquisition of Onyx.</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increase in interest and other income, net for 2014 compared with 2013 was due primarily to interest earned as a result of a higher average balance of cash and investments offset partially by a reduction in income realized from the sale of investments recognized in 2014. The decrease in interest and other income, net for 2013 compared with 2012 was due primarily to a reduction in income from the sale of investments recognized in 2013.</w:t>
      </w:r>
    </w:p>
    <w:p>
      <w:pPr>
        <w:spacing w:after="0" w:line="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increase in our effective tax rate for 2014 compared with 2013 was due primarily to two significant events that occurred during 2013. First, the settlement of our examination with the Internal Revenue Service (IRS) for the years ended December 31, 2007, 2008 and 2009, in which we agreed to certain adjustments proposed by the IRS and remeasured our unrecognized tax benefits (UTBs) accordingly, resulting in a benefit of approximately $185 million. Second, because the American Taxpayer Relief Act of 2012 was not enacted until 2013, certain provisions of the Act benefiting the Company's 2012 federal taxes, including the retroactive extension of the R&amp;D tax credit for 2012, were not recognized in the Company's 2012 financial results and instead are reflected in the Company's 2013 financial results. Therefore, our effective tax rate for 2013 included an additional $70 million benefit for the full-year 2012 R&amp;D tax credit. The increase was offset partially by the favorable tax impact of changes in the jurisdictional mix of income and expenses due primarily to higher domestic acquisition-related expenses and restructuring costs in 2014.</w:t>
      </w:r>
    </w:p>
    <w:p>
      <w:pPr>
        <w:spacing w:after="0" w:line="10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decrease in our effective rate for 2013 compared with 2012 was due primarily to three significant events occurring in 2013: (i) we settled our examination with the IRS for the years ended December 31, 2007, 2008 and 2009, as discussed above; (ii) costs associated with the acquisition of Onyx, which resulted in a tax benefit of approximately $180 million; and (iii) the reinstatement of the federal R&amp;D tax credit for 2012 and 2013, as discussed above. Additionally, our rate was further reduced by the favorable tax impact of changes in the jurisdictional mix of income and expenses.</w:t>
      </w:r>
    </w:p>
    <w:p>
      <w:pPr>
        <w:spacing w:after="0" w:line="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effective tax rates for 2014, 2013 and 2012 would have been approximately 12.8%, 9.2%, and 18.7%, respectively, without the impact of the tax credits associated with the Puerto Rico excise tax.</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permitted under U.S. GAAP, we do not provide for U.S. income taxes on undistributed earnings of our foreign operations that are intended to be invested indefinitely outside the United States.</w:t>
      </w:r>
    </w:p>
    <w:p>
      <w:pPr>
        <w:spacing w:after="0" w:line="8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See Summary of Critical Accounting Policies—Income taxes and Part IV—Note 5, Income taxes, to the Consolidated Financial Statements for further discussion.</w:t>
      </w:r>
    </w:p>
    <w:p>
      <w:pPr>
        <w:spacing w:after="0" w:line="77" w:lineRule="exact"/>
        <w:rPr>
          <w:sz w:val="20"/>
          <w:szCs w:val="20"/>
          <w:color w:val="auto"/>
        </w:rPr>
      </w:pPr>
    </w:p>
    <w:p>
      <w:pPr>
        <w:jc w:val="right"/>
        <w:ind w:right="7300"/>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160" w:lineRule="exact"/>
        <w:rPr>
          <w:sz w:val="20"/>
          <w:szCs w:val="20"/>
          <w:color w:val="auto"/>
        </w:rPr>
      </w:pPr>
    </w:p>
    <w:p>
      <w:pPr>
        <w:jc w:val="right"/>
        <w:ind w:right="7260"/>
        <w:spacing w:after="0"/>
        <w:rPr>
          <w:sz w:val="20"/>
          <w:szCs w:val="20"/>
          <w:color w:val="auto"/>
        </w:rPr>
      </w:pPr>
      <w:r>
        <w:rPr>
          <w:rFonts w:ascii="Times New Roman" w:cs="Times New Roman" w:eastAsia="Times New Roman" w:hAnsi="Times New Roman"/>
          <w:sz w:val="18"/>
          <w:szCs w:val="18"/>
          <w:color w:val="auto"/>
        </w:rPr>
        <w:t>Selected financial data was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19,401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3,412</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marketable securities and restricted investments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27,026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22,813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69,009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66,125</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30,215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29,623</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22,096</w:t>
            </w:r>
          </w:p>
        </w:tc>
      </w:tr>
      <w:tr>
        <w:trPr>
          <w:trHeight w:val="27"/>
        </w:trPr>
        <w:tc>
          <w:tcPr>
            <w:tcW w:w="77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intends to continue to return capital to stockholders through the payment of cash dividends and share repurchases, reflecting our confidence in the future cash flows of our business. The amount we spend, the number of shares repurchased and the timing of such repurchases will vary based on a number of factors, including the stock price, the availability of financing on acceptable terms, the amount and timing of dividends and blackout periods in which we are restricted from repurchasing shares; and the manner of purchases may include private block purchases, tender offers and market transactions.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8" w:right="2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Whether and when we declare dividends and the size of any dividend could be affected by a number of additional factors. (See Part I, Item 1A. Risk Factors —There can be no assurance that we will continue to declare cash dividends or that we will repurchase stock). The Board of Directors declared quarterly cash dividends of $0.36 per share of common stock in 2012, increased our quarterly cash dividend by 31% to $0.47 per share of common stock in 2013 and increased our quarterly cash dividend by 30% to $0.61 per share of common stock in 2014. In December 2014, the Board of Directors declared a dividend of $0.79 per share of common stock, an increase of 30%, to be paid in March 2015.</w:t>
      </w:r>
    </w:p>
    <w:p>
      <w:pPr>
        <w:spacing w:after="0" w:line="1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also returned capital to stockholders through its stock repurchase program. During 2012, we spent $4.6 billion to repurchase shares of our common stock, and an additional $832 million during the first quarter of 2013, after which repurchases were temporarily suspended. In October 2014, the Board of Directors authorized an increase to the stock repurchase program that resulted in a total of $4.0 billion available. We reinitiated repurchasing activity under the program and, during the fourth quarter of 2014, we repurchased $153 million of stock, of which $138 million was paid in cash by December 31, 2014. As of December 31, 2014, $3.8 billion remains available under the Board of Directors-approved stock repurchase program.</w:t>
      </w:r>
    </w:p>
    <w:p>
      <w:pPr>
        <w:spacing w:after="0" w:line="1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our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pay dividends and repurchase stock with U.S. funds) for the foreseeable future. See Part I, Item 1A. Risk Factors—Global economic conditions may negatively affect us and may magnify certain risks that affect our business.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December 31, 2014 and 2013, accounts receivable in these four countries totaled $223 million and $419 million, respectively. Of these receivables, $124 million and $301 million were past due as of December 31, 2014 and 2013, respectively.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Of our total cash, cash equivalents and marketable securities totaling approximately $27.0 billion as of December 31, 2014, approximately $25.7 billion was generated from operations in foreign tax jurisdictions and is intended to be invested indefinitely outside the United States. Under current tax laws, if these funds were repatriated for use in our U.S. operations, we would be required to pay additional income taxes at the tax rates then in effect.</w:t>
      </w:r>
    </w:p>
    <w:p>
      <w:pPr>
        <w:spacing w:after="0" w:line="9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current and noncurrent portions of our long-term borrowings at December 31, 2014, were $0.5 billion and $30.2 billion, respectively. The current and noncurrent portions of our long-term borrowings at December 31, 2013, were $2.5 billion and $29.6 billion, respectively. As of December 31, 2014, Standard &amp; Poor’s Financial Services LLC (S&amp;P), Moody’s Investor Service, Inc. (Moody's) and Fitch, Inc. (Fitch) assigned credit ratings to our outstanding senior notes of A with a stable outlook, Baa1 with a stable outlook and BBB with a negative outlook, respectively, which are considered investment grade. Unfavorable changes 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these ratings may have an adverse impact on future financings and would affect the interest rate paid under our Term Loan Credit Facility.</w:t>
      </w:r>
    </w:p>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2014, 2013 and 2012, we issued long-term debt with aggregate principal amounts of $4.5 billion, </w:t>
      </w:r>
      <w:r>
        <w:rPr>
          <w:rFonts w:ascii="Times New Roman" w:cs="Times New Roman" w:eastAsia="Times New Roman" w:hAnsi="Times New Roman"/>
          <w:sz w:val="18"/>
          <w:szCs w:val="18"/>
          <w:color w:val="010202"/>
        </w:rPr>
        <w:t>$8.1 billion,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202"/>
        </w:rPr>
        <w:t xml:space="preserve">and $5.0 billion, respectively. During the </w:t>
      </w:r>
      <w:r>
        <w:rPr>
          <w:rFonts w:ascii="Times New Roman" w:cs="Times New Roman" w:eastAsia="Times New Roman" w:hAnsi="Times New Roman"/>
          <w:sz w:val="18"/>
          <w:szCs w:val="18"/>
          <w:color w:val="000000"/>
        </w:rPr>
        <w:t>years ended December 31, 2014, 2013 and 2012, we</w:t>
      </w:r>
      <w:r>
        <w:rPr>
          <w:rFonts w:ascii="Times New Roman" w:cs="Times New Roman" w:eastAsia="Times New Roman" w:hAnsi="Times New Roman"/>
          <w:sz w:val="18"/>
          <w:szCs w:val="18"/>
          <w:color w:val="010202"/>
        </w:rPr>
        <w:t xml:space="preserve"> repaid debt </w:t>
      </w:r>
      <w:r>
        <w:rPr>
          <w:rFonts w:ascii="Times New Roman" w:cs="Times New Roman" w:eastAsia="Times New Roman" w:hAnsi="Times New Roman"/>
          <w:sz w:val="18"/>
          <w:szCs w:val="18"/>
          <w:color w:val="000000"/>
        </w:rPr>
        <w:t>of $5.6 billion,</w:t>
      </w:r>
      <w:r>
        <w:rPr>
          <w:rFonts w:ascii="Times New Roman" w:cs="Times New Roman" w:eastAsia="Times New Roman" w:hAnsi="Times New Roman"/>
          <w:sz w:val="18"/>
          <w:szCs w:val="18"/>
          <w:color w:val="010202"/>
        </w:rPr>
        <w:t xml:space="preserve"> $3.4 billion, and $123 million, respectively. For information regarding specific issuances and repayments of debt, see </w:t>
      </w:r>
      <w:r>
        <w:rPr>
          <w:rFonts w:ascii="Times New Roman" w:cs="Times New Roman" w:eastAsia="Times New Roman" w:hAnsi="Times New Roman"/>
          <w:sz w:val="18"/>
          <w:szCs w:val="18"/>
          <w:color w:val="000000"/>
        </w:rPr>
        <w:t>Part IV—</w:t>
      </w:r>
      <w:r>
        <w:rPr>
          <w:rFonts w:ascii="Times New Roman" w:cs="Times New Roman" w:eastAsia="Times New Roman" w:hAnsi="Times New Roman"/>
          <w:sz w:val="18"/>
          <w:szCs w:val="18"/>
          <w:color w:val="010202"/>
        </w:rPr>
        <w:t>Note 14, Financing arrangements, to the Consolidated Financial Statements.</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 debt, we entered into interest rate swap contracts that effectively converted a fixed-rate interest coupon for certain of our debt issuances to a floating London Interbank Offered Rates (LIBOR)-based coupon over the life of the respective note. These interest rate swap contracts qualified and are designated as fair value hedges. In 2014 and 2013, we entered into interest rate swap contracts with aggregate notional amounts of $2.25 billion and $4.4 billion, respectively. In addition, we previously had interest rate swap contracts on debt with an aggregate face value of $3.6 billion which, due to historically low interest rates, were terminated in May 2012. See Part IV—Note 14, Financing arrangements, and Note 17, Derivative instruments, to the Consolidated Financial Statements for further discussion of our interest rate swap contracts.</w:t>
      </w:r>
    </w:p>
    <w:p>
      <w:pPr>
        <w:spacing w:after="0" w:line="1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euros/pounds sterling to U.S. dollars. These cross-currency swap contracts qualify and are designated as cash flow hedges. As of December 31, 2014 and 2013, we had cross-currency swap contracts with aggregate notional amounts of $2.7 billion. See Part IV—Note 17, Derivative instruments, to the Consolidated Financial Statements for further discussion of our cross-currency swap contracts.</w:t>
      </w:r>
    </w:p>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we had a commercial paper program that allows us to issue up to $2.5 billion of unsecured commercial paper to fund our working capital needs. At December 31, 2014 and 2013, we had no amounts outstanding under our commercial paper program.</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July 2014, we entered into a $2.5 billion syndicated, unsecured, revolving credit agreement which is available for general corporate purposes or as a liquidity backstop to our commercial paper program. This agreement amended and restated our previous revolving credit agreement on substantially similar terms. The commitments under the revolving credit agreement may be increased by up to $500 million with the agreement of the banks. Each bank which is a party to the agreement has an initial commitment term of five years. This term may be extended for up to two additional one-year periods with the agreement of the banks. Annual commitment fees for this agreement are 0.1% based on our current credit rating. Generally, we would be charged interest at LIBOR plus 0.9% for any amounts borrowed under this facility. As of December 31, 2014 and 2013, no amounts were outstanding under this facility.</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February 2014, we filed a shelf registration statement with the SEC which allows us to issue unspecified amounts of debt securities; common stock; preferred stock; warrants to purchase debt securities, common stock, preferred stock or depository shares; rights to purchase common stock or preferred stock; securities purchase contracts; securities purchase units; and depository shares. Under this shelf registration statement, all of the securities available for issuance may be offered from time to time with terms to be determined at the time of issuance. This shelf registration statement expires in February 2017.</w:t>
      </w:r>
    </w:p>
    <w:p>
      <w:pPr>
        <w:spacing w:after="0" w:line="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1997, we established a $400 million medium-term note program under which medium-term debt securities may be offered from time to time with terms to be determined at the time of issuance. As of December 31, 2014 and 2013, no securities were outstanding under this medium-term note program.</w:t>
      </w:r>
    </w:p>
    <w:p>
      <w:pPr>
        <w:spacing w:after="0" w:line="8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December 31, 2014.</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Part IV—Note 14, Financing arrangements, to the Consolidated Financial Statements for further discussion of our financing arrangements.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cash flow activity was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8,555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5,882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6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has been and is expected to continue to be our primary recurring source of funds. Cash provided by operating activities increased during 2014 due primarily to higher revenues, higher operating income, including the impact of the expiration of the ENBREL co-promotion term on October 31, 2013, and improvements in working capital. Cash provided by operating activities increased during 2013 due primarily to the 2012 impacts of the payment associated with a legal settlement and higher payments to taxing authorities, offset partially by cash receipts in 2012 of $397 million in connection with the termination of interest rate swap agreements and $197 million received under a government-funded program in Spain with regard to trade receivables.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which were associated primarily with manufacturing capacity expansions in Singapore, Puerto Rico and Ireland, as well as other site developments, totaled $718 million, $693 million and $689 million in 2014, 2013 and 2012, respectively. We currently estimate 2015 spending on capital projects and equipment to be approximately $800 million.</w:t>
      </w:r>
    </w:p>
    <w:p>
      <w:pPr>
        <w:spacing w:after="0" w:line="9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years ended December 31, 2014, 2013 and 2012, also included the cost of acquiring certain businesses, net of cash acquired, which totaled $165 million, $9.4 billion and $2.4 billion, respectively. In addition, during the year ended December 31, 2014, $285 million was used to purchase intangible assets.</w:t>
      </w:r>
    </w:p>
    <w:p>
      <w:pPr>
        <w:spacing w:after="0" w:line="9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Net activity related to marketable securities and restricted investments used $4.4 billion for 2014 and provided $1.7 billion for 2013. Net purchases of marketable securities totaled $6.9 billion for 2012.</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4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during 2014 was due primarily to the repayment of long-term debt of $5.6 billion, the payment of dividends of $1.9 billion and repurchases of our common stock of $138 million. These payments were offset partially by net proceeds from the issuance of long-term debt of $4.5 billion and net proceeds from the issuance of common stock in connection with the Company's equity award programs of $186 million. Cash provided by financing activities during 2013 was due primarily to net proceeds from the issuance of long-term debt of $8.1 billion and net proceeds from the issuance of common stock in connection with the Company's equity award programs of $296 million. These receipts were offset partially by the repayment of long-term debt of $3.4 billion, the payment of dividends of $1.4 billion and repurchases of our common stock of $832 million. Cash used in financing activities during 2012 was due primarily to net proceeds from the issuance of long-term debt of $4.9 billion and net proceeds from the issuance of common stock in connection with the Company's equity award programs of $1.3 billion, offset partially by repurchases of common stock of $4.6 billion and the payment of dividends of $1.1 billion.</w:t>
      </w:r>
    </w:p>
    <w:p>
      <w:pPr>
        <w:spacing w:after="0" w:line="108" w:lineRule="exact"/>
        <w:rPr>
          <w:sz w:val="20"/>
          <w:szCs w:val="20"/>
          <w:color w:val="auto"/>
        </w:rPr>
      </w:pPr>
    </w:p>
    <w:p>
      <w:pPr>
        <w:ind w:right="360" w:firstLine="432"/>
        <w:spacing w:after="0" w:line="407" w:lineRule="auto"/>
        <w:rPr>
          <w:sz w:val="20"/>
          <w:szCs w:val="20"/>
          <w:color w:val="auto"/>
        </w:rPr>
      </w:pPr>
      <w:r>
        <w:rPr>
          <w:rFonts w:ascii="Times New Roman" w:cs="Times New Roman" w:eastAsia="Times New Roman" w:hAnsi="Times New Roman"/>
          <w:sz w:val="18"/>
          <w:szCs w:val="18"/>
          <w:color w:val="auto"/>
        </w:rPr>
        <w:t xml:space="preserve">See Part IV—Note 14, Financing arrangements, and Note 15, Stockholders’ equity, to the Consolidated Financial Statements for further discussion. </w:t>
      </w:r>
      <w:r>
        <w:rPr>
          <w:rFonts w:ascii="Times New Roman" w:cs="Times New Roman" w:eastAsia="Times New Roman" w:hAnsi="Times New Roman"/>
          <w:sz w:val="18"/>
          <w:szCs w:val="18"/>
          <w:b w:val="1"/>
          <w:bCs w:val="1"/>
          <w:color w:val="auto"/>
        </w:rPr>
        <w:t>Off-Balance Sheet Arrangements</w:t>
      </w: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are material or reasonably likely to become material to our consolidated financial position or consolidated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Contractual obligations represent future cash commitments and liabilities under agreements with third parties, and exclude contingent liabilities for which we cannot reasonably predict future payment. Additionally, the expected timing of payment of the obligations presented below is estimated based on current information. Timing of payments and actual amounts paid may be different depending on the timing of receipt of goods or services or changes to agreed-upon terms or amounts for some obligations.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78" w:right="23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t>The following table represents our contractual obligations aggregated by type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Payments due by period as of December 31, 2014</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59"/>
        </w:trPr>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22"/>
                <w:szCs w:val="2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22"/>
                <w:szCs w:val="2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80" w:type="dxa"/>
            <w:vAlign w:val="bottom"/>
          </w:tcPr>
          <w:p>
            <w:pPr>
              <w:spacing w:after="0"/>
              <w:rPr>
                <w:sz w:val="22"/>
                <w:szCs w:val="22"/>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40"/>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20"/>
                <w:szCs w:val="20"/>
                <w:color w:val="auto"/>
              </w:rPr>
            </w:pPr>
          </w:p>
        </w:tc>
        <w:tc>
          <w:tcPr>
            <w:tcW w:w="10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 and 3</w:t>
            </w:r>
          </w:p>
        </w:tc>
        <w:tc>
          <w:tcPr>
            <w:tcW w:w="3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4 and 5</w:t>
            </w:r>
          </w:p>
        </w:tc>
        <w:tc>
          <w:tcPr>
            <w:tcW w:w="180" w:type="dxa"/>
            <w:vAlign w:val="bottom"/>
          </w:tcPr>
          <w:p>
            <w:pPr>
              <w:spacing w:after="0"/>
              <w:rPr>
                <w:sz w:val="20"/>
                <w:szCs w:val="20"/>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6 and beyond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5"/>
                <w:szCs w:val="25"/>
                <w:color w:val="auto"/>
                <w:vertAlign w:val="superscript"/>
              </w:rPr>
              <w:t>(1) (2) (3) (4)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48,262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28,087</w:t>
            </w: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809</w:t>
            </w:r>
          </w:p>
        </w:tc>
      </w:tr>
      <w:tr>
        <w:trPr>
          <w:trHeight w:val="270"/>
        </w:trPr>
        <w:tc>
          <w:tcPr>
            <w:tcW w:w="4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UTBs </w:t>
            </w:r>
            <w:r>
              <w:rPr>
                <w:rFonts w:ascii="Times New Roman" w:cs="Times New Roman" w:eastAsia="Times New Roman" w:hAnsi="Times New Roman"/>
                <w:sz w:val="25"/>
                <w:szCs w:val="25"/>
                <w:color w:val="auto"/>
                <w:vertAlign w:val="superscript"/>
              </w:rPr>
              <w:t>(6)</w:t>
            </w:r>
          </w:p>
        </w:tc>
        <w:tc>
          <w:tcPr>
            <w:tcW w:w="3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0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52,694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29,190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20" w:hanging="250"/>
        <w:spacing w:after="0" w:line="238"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Long-term debt obligations include future interest payments which are included in our financing arrangements at the fixed contractual coupon rates. To achieve a desired mix of fixed and floating interest rate debt, we enter into interest rate swap contracts that effectively convert a fixed rate interest coupon for certain of our debt issuances to a floating LIBOR-based coupon over the life of the respective note. We used an interest rate forward curve at December 31, 2014, in computing net amounts to be paid or received under our interest rate swap contracts which resulted in an aggregate net increase in future interest payments of $272 million. See Part IV—Note 14, Financing arrangements, to the Consolidated Financial Statements for further discussion of our interest swap contracts.</w:t>
      </w:r>
    </w:p>
    <w:p>
      <w:pPr>
        <w:spacing w:after="0" w:line="120" w:lineRule="exact"/>
        <w:rPr>
          <w:rFonts w:ascii="Times New Roman" w:cs="Times New Roman" w:eastAsia="Times New Roman" w:hAnsi="Times New Roman"/>
          <w:sz w:val="25"/>
          <w:szCs w:val="25"/>
          <w:color w:val="auto"/>
          <w:vertAlign w:val="superscript"/>
        </w:rPr>
      </w:pPr>
    </w:p>
    <w:p>
      <w:pPr>
        <w:jc w:val="both"/>
        <w:ind w:left="420" w:hanging="250"/>
        <w:spacing w:after="0" w:line="228"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Long-term debt obligations include future interest payments under our Term Loan at LIBOR-based variable rates of interest. We used an interest rate forward curve at December 31, 2014, in computing interest payments on this debt obligation. See Part IV—Note 14, Financing arrangements, to the Consolidated Financial Statements for further discussion of this debt obligation.</w:t>
      </w:r>
    </w:p>
    <w:p>
      <w:pPr>
        <w:spacing w:after="0" w:line="116" w:lineRule="exact"/>
        <w:rPr>
          <w:rFonts w:ascii="Times New Roman" w:cs="Times New Roman" w:eastAsia="Times New Roman" w:hAnsi="Times New Roman"/>
          <w:sz w:val="25"/>
          <w:szCs w:val="25"/>
          <w:color w:val="auto"/>
          <w:vertAlign w:val="superscript"/>
        </w:rPr>
      </w:pPr>
    </w:p>
    <w:p>
      <w:pPr>
        <w:jc w:val="both"/>
        <w:ind w:left="420" w:hanging="250"/>
        <w:spacing w:after="0" w:line="238"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Long-term debt obligations include contractual interest payments and principal repayment of our foreign denominated debt obligations. In order to hedge our exposure to foreign currency exchange rate risk associated with certain of our pound sterling and euro denominated long-term debt, we entered into cross-currency swap contracts that effectively convert interest payments and principal repayment on this debt from euros/pounds sterling to U.S. dollars. For purposes of this table, we used the contracted exchange rates in the cross-currency swap contracts to compute the net amounts of future interest payments and principal repayments on this debt. See Part IV—Note 17, Derivative instruments, to the Consolidated Financial Statements for further discussion of our cross-currency swap contracts.</w:t>
      </w:r>
    </w:p>
    <w:p>
      <w:pPr>
        <w:spacing w:after="0" w:line="120" w:lineRule="exact"/>
        <w:rPr>
          <w:rFonts w:ascii="Times New Roman" w:cs="Times New Roman" w:eastAsia="Times New Roman" w:hAnsi="Times New Roman"/>
          <w:sz w:val="25"/>
          <w:szCs w:val="25"/>
          <w:color w:val="auto"/>
          <w:vertAlign w:val="superscript"/>
        </w:rPr>
      </w:pPr>
    </w:p>
    <w:p>
      <w:pPr>
        <w:jc w:val="both"/>
        <w:ind w:left="420" w:hanging="250"/>
        <w:spacing w:after="0" w:line="228"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payments and the repayment of principal on our 4.375% 2018 euro Notes were translated into U.S. dollars at the foreign currency exchange rate in effect at December 31, 2014. See Part IV—Note 14, Financing arrangements, to the Consolidated Financial Statements for further discussion of our long-term debt obligations.</w:t>
      </w:r>
    </w:p>
    <w:p>
      <w:pPr>
        <w:spacing w:after="0" w:line="116" w:lineRule="exact"/>
        <w:rPr>
          <w:rFonts w:ascii="Times New Roman" w:cs="Times New Roman" w:eastAsia="Times New Roman" w:hAnsi="Times New Roman"/>
          <w:sz w:val="25"/>
          <w:szCs w:val="25"/>
          <w:color w:val="auto"/>
          <w:vertAlign w:val="superscript"/>
        </w:rPr>
      </w:pPr>
    </w:p>
    <w:p>
      <w:pPr>
        <w:jc w:val="both"/>
        <w:ind w:left="420" w:hanging="250"/>
        <w:spacing w:after="0" w:line="233"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obligations relate primarily to: (i) R&amp;D commitments (including those related to clinical trials) for new and existing products; (ii) capital expenditures; (iii) open purchase orders for the acquisition of goods and services in the ordinary course of business; and (iv) a $225 million payment due to the former shareholders of Proteolix, Inc. in settlement of contingent consideration assumed in the acquisition of Onyx (see Note 16, Fair value measurement to the Consolidated Financial Statements). Our obligation to pay certain of these amounts may be reduced based on certain future events.</w:t>
      </w:r>
    </w:p>
    <w:p>
      <w:pPr>
        <w:spacing w:after="0" w:line="117" w:lineRule="exact"/>
        <w:rPr>
          <w:rFonts w:ascii="Times New Roman" w:cs="Times New Roman" w:eastAsia="Times New Roman" w:hAnsi="Times New Roman"/>
          <w:sz w:val="25"/>
          <w:szCs w:val="25"/>
          <w:color w:val="auto"/>
          <w:vertAlign w:val="superscript"/>
        </w:rPr>
      </w:pPr>
    </w:p>
    <w:p>
      <w:pPr>
        <w:jc w:val="both"/>
        <w:ind w:left="420" w:hanging="250"/>
        <w:spacing w:after="0" w:line="228" w:lineRule="auto"/>
        <w:tabs>
          <w:tab w:leader="none" w:pos="4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Liabilities for UTBs (net of foreign tax credits and federal tax benefit of state taxes) and related accrued interest and penalties totaling approximately $1.7 billion at December 31, 2014, are not included in the table above because, due to their nature, there is a high degree of uncertainty regarding the timing of future cash outflows and other events that extinguish these liabilities.</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to amounts in the table above, we are contractually obligated to pay additional amounts, which in the aggregate are significant, upon the achievement of various development, regulatory and commercial milestones for agreements we have entered into with third parties, including contingent consideration incurred in the acquisition of BioVex. These payments are contingent upon the occurrence of various future events, substantially all of which have a high degree of uncertainty of occurring. These contingent payments have not been included in the table above, and, except with respect to the fair value of the contingent consideration obligations, are not recorded on our Consolidated Balance Sheets. As of December 31, 2014, the maximum amount that may be payable in the future for agreements we have entered into with third parties is approximately $3.0 billion, including $450 million of contingent consideration payments in connection with the acquisition of BioVex. See Part IV—Note 16, Fair value measurement to the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and sales deductions</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Revenues from sales of our products are recognized when the products are shipped and title and risk of loss have passed. Product sales are recorded net of accruals for estimated rebates, wholesaler chargebacks, cash discounts and other deductions (collectively, “sales deductions”) and returns, which are established at the time of sale.</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 deductions</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2012</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w:t>
            </w:r>
          </w:p>
        </w:tc>
      </w:tr>
      <w:tr>
        <w:trPr>
          <w:trHeight w:val="243"/>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4,848</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1,129</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5,461</w:t>
            </w:r>
          </w:p>
        </w:tc>
      </w:tr>
      <w:tr>
        <w:trPr>
          <w:trHeight w:val="243"/>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7"/>
        </w:trPr>
        <w:tc>
          <w:tcPr>
            <w:tcW w:w="4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charged against product sales</w:t>
            </w:r>
          </w:p>
        </w:tc>
        <w:tc>
          <w:tcPr>
            <w:tcW w:w="3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6,586</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1,379</w:t>
            </w: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2014, 2013 and 2012, total sales deductions were 25%, 23% and 23% of gross product sales, respectively. Included in these amounts are immaterial adjustments related to prior-year sales due to changes in estimates. Such amounts represent 3% or less of the aggregate sales deductions charged against product sales in each of the three years ended December 31, 2014.</w:t>
      </w:r>
    </w:p>
    <w:p>
      <w:pPr>
        <w:spacing w:after="0" w:line="9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the United States, we utilize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 is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impacted our method of estimating sales deductions and returns.</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product-specific and, therefore, for any given year, can be impacted by the mix of products sold.</w:t>
      </w:r>
    </w:p>
    <w:p>
      <w:pPr>
        <w:spacing w:after="0" w:line="9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Rebates include primarily amounts paid to payers and providers in the United States, including those paid to state Medicaid programs, and are based on contractual arrangements or statutory requirements which vary by product, by payer and individual payer plans. As we sell product, we estimate the amount of rebate that will be paid by us based on the product sold, contractual terms, estimated patient population, historical experience and wholesaler inventory levels and accrue these rebates in the period the related sale is recorded. We then adjust the rebate accruals as more information becomes available and to reflect actual claims experience. Estimating such rebates is complicated, in part, due to the time delay between the date of sale and the actual settlement of the liability, which can take more than one year. We believe the methodology we use to accrue for rebates is reasonable and appropriate given current facts and circumstances. However, actual results may differ. For example, we had managed Medicaid rebate adjustments of $164 million in 2013. Changes in annual estimates related to prior annual periods were less than 2% of the estimated rebate amounts charged against product sales for the year ended December 31, 2014, and less than 10% for the years ended December 31, 2013 and 2012, including the aforementioned adjustment. A 10% change in our rebate estimate attributable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76" w:right="239" w:bottom="1440" w:gutter="0" w:footer="0" w:header="0"/>
        </w:sectPr>
      </w:pPr>
    </w:p>
    <w:bookmarkStart w:id="58" w:name="page59"/>
    <w:bookmarkEnd w:id="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rebates recognized in 2014 would have had an impact of approximately $250 million, or approximately 1% of our 2014 product sales and a corresponding impact on our financial condition and liquidity.</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 and the contractual price between Amgen and the healthcare providers. The provision for chargebacks is based on the expected sales by our wholesaler customers to healthcare providers. Accruals for wholesaler chargebacks are less difficult to estimate than rebates and closely approximate actual results since chargeback amounts are fixed at the date of purchase by the healthcare providers, and we generally settle the liability for these deductions within a few weeks.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Returns are estimated through comparison of historical return data to their related sales on a production lot basis. Historical rates of return are determined for each product and are adjusted for known or expected changes in the marketplace specific to each product, when appropriate. In each of the last three years, sales return provisions have amounted to less than 1% of gross product sales. Changes in estimates for prior year sales return provisions have historically been insignificant.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provides for income taxes based on pretax income and applicable tax rates available in the various jurisdictions in which it operates.</w:t>
      </w:r>
    </w:p>
    <w:p>
      <w:pPr>
        <w:spacing w:after="0" w:line="14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on a particular tax position are measured based on the largest benefit that is more likely than not to be realized. The amount of UTBs is adjusted as appropriate for changes in facts and circumstances, such as significant amendments to existing tax law, new regulations or interpretations by the taxing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where appropriate, related to UTBs in income tax expense.</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Certain items are included in the Company's tax return at different times than they are reflected in the financial statements and cause temporary differences between the tax bases of assets and liabilities and their reported amounts. Such temporary differences create deferred tax assets and liabilities. Deferred tax assets are generally items that can be used as a tax deduction or credit in the tax return in future years but for which the Company has already recorded the tax benefit in the financial statements. The Company establishes valuation allowances against its deferred tax assets when the amount of expected future taxable income is not likely to support the use of the deduction or credit. Deferred tax liabilities are either: (i) tax expenses recognized in the financial statements for which payment has been deferred; (ii) expenses for which the Company has already taken a deduction on the tax return, but has not yet recognized the expense in the financial statements; or (iii) liabilities for the difference between the book basis and tax basis of the intangible assets acquired in many business combinations, as future expenses associated with these assets most often will not be tax deductible.</w:t>
      </w:r>
    </w:p>
    <w:p>
      <w:pPr>
        <w:spacing w:after="0" w:line="10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a vertically integrated enterprise with operations in the United States and various foreign jurisdictions. The Company is subject to income tax in the foreign jurisdictions where it conducts activities based on the tax laws and principles of such jurisdictions and the functions, risks and activities performed therein. The Company’s pretax income is therefore attributed to domestic or foreign sources based on the operations performed in each location and the tax laws and principles of the respective taxing jurisdictions. For example, the Company conducts significant operations outside the United States in Puerto Rico pertaining to manufacturing, distribution and other related functions to meet its worldwide product demand. Income from the Company’s operations in Puerto Rico is subject to a tax incentive grant that expires in 2020.</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effective tax rate reflects the impact of undistributed foreign earnings for which no U.S. income taxes or foreign withholding taxes have been provided because such earnings are intended to be invested indefinitely outside the United States. Substantially all of this benefit is attributable to the Company’s foreign income associated with the Company’s operations conducted in Puerto Rico.</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future events, including material changes in cash, working capital and long-term investment requirements necessitate that certain assets associated with these earnings be repatriated to the United States, under current tax laws an additional tax provision and related liability would be required at the applicable income tax rates which could have a material adverse effect on both our future effective tax rate and our financial results.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0" w:right="239" w:bottom="1440" w:gutter="0" w:footer="0" w:header="0"/>
        </w:sectPr>
      </w:pPr>
    </w:p>
    <w:bookmarkStart w:id="59" w:name="page60"/>
    <w:bookmarkEnd w:id="59"/>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operations are subject to the tax laws, regulations and administrative practices of the United States, U.S. state jurisdictions and other countries in which we do business. Significant changes in these rules could have a material adverse effect on the Company's results of operations. See Part I, Item 1A. Risk Factors—The adoption of new tax legislation or exposure to additional tax liabilities could affect our profitability.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6"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and other matters such as intellectual property disputes, contractual disputes, governmental investigations and class action suits which are complex in nature and have outcomes that are difficult to predict. Certain of these proceedings are discussed in Part IV—Note 18, Contingencies and commitments, to the Consolidated Financial Statements. We record accruals for loss contingencies to the extent that we conclude that it is probable that a liability has been incurred and the amount of the related loss can be reasonably estimated. We consider all relevant factors when making assessments regarding these contingencies.</w:t>
      </w:r>
    </w:p>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in connection with business combinations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acquired and continue to acquire intangible assets in connection with business combinations.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 business combination. These models require the use of significant estimates and assumptions, including, but not limited to:</w:t>
      </w:r>
    </w:p>
    <w:p>
      <w:pPr>
        <w:spacing w:after="0" w:line="99"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timing and expected costs to complete in-process projects taking into account the stage of completion at the acquisition date;</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projecting the probability and timing of obtaining marketing approval from the FDA and other regulatory agencies for product candidates;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timing of and future net cash flows from product sales resulting from completed products and in-process projects; and</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appropriate discount rates to calculate the present values of the cash flows.</w:t>
      </w:r>
    </w:p>
    <w:p>
      <w:pPr>
        <w:spacing w:after="0" w:line="14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Significant estimates and assumptions are also required to determine the acquisition date fair values of any contingent consideration obligations incurred in connection with business combinations. In addition, we must revalue these obligations each subsequent reporting period until the related contingencies are resolved and record changes in their fair values in earnings. The acquisition date fair values of various contingent consideration obligations incurred or assumed in the acquisitions of businesses (see Part IV—Note 3, Business combinations, and Note 16, Fair value measurement, to the Consolidated Financial Statements) were determined using a combination of valuation techniques. Significant estimates and assumptions required for these valuations included, but were not limited to, the probability of achieving regulatory milestones, product sales projections under various scenarios and discount rates used to calculate the present value of the required payments. These estimates and assumptions are required to be updated in order to revalue these contingent consideration obligations each reporting period. Accordingly, subsequent changes in underlying facts and circumstances could result in changes in these estimates and assumptions, which could have a material impact on the estimated future fair values of these obligations.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believe the fair values used to record intangible assets acquired and contingent consideration obligations incurred in connection with business combinations are based upon reasonable estimates and assumptions given the facts and circumstances as of the related valuation dates.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to the carrying value to determine whether an impairment exists. If an asset is determined to be impaired, the loss is measured based on the difference between the asset's fair value and its carrying value.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80" w:right="239" w:bottom="1440" w:gutter="0" w:footer="0" w:header="0"/>
        </w:sectPr>
      </w:pPr>
    </w:p>
    <w:bookmarkStart w:id="60" w:name="page61"/>
    <w:bookmarkEnd w:id="60"/>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composed of IPR&amp;D projects acquired in a business combination which have not reached technological feasibility, are reviewed annually for impairment and whenever events or changes in circumstances indicate that the carrying amount may not be recoverable. We determine impairment by comparing the fair value of the asset to its carrying value. If the asset's carrying value exceeds its fair value, an impairment charge is recorded for the difference and its carrying value is reduced accordingly.</w:t>
      </w:r>
    </w:p>
    <w:p>
      <w:pPr>
        <w:spacing w:after="0" w:line="9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Estimating future cash flows of an IPR&amp;D product candidate for purposes of an impairment analysis requires us to make significant estimates and assumptions regarding the amount and timing of costs to complete the project and the amount, timing and probability of achieving revenues from the completed product similar to how the acquisition date fair value of the project was determined, as described above. There are often major risks and uncertainties associated with IPR&amp;D projects as we are required to obtain regulatory approvals in order to be able to market these products. Such approvals require completing clinical trials that demonstrate a product candidate is safe and effective. Consequently, the eventual realized value of the acquired IPR&amp;D project may vary from its estimated fair value at the date of acquisition, and IPR&amp;D impairment charges may occur in future periods which could have a material adverse effect on our results of operations.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believe our estimations of future cash flows used for assessing impairment of long-lived assets are based on reasonable assumptions given the facts and circumstances as of the related dates of the assessments.</w:t>
      </w:r>
    </w:p>
    <w:p>
      <w:pPr>
        <w:spacing w:after="0" w:line="23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discussion that follows, we have assumed a hypothetical change in interest rates of 100 basis points from those at December 31, 2014 and 2013. We have also assumed a hypothetical 20% change in foreign currency exchange rates against the U.S. dollar based on its position relative to other currencies as of December 31, 2014 and 2013.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sensitive financial instruments</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portfolio of available-for-sale interest-bearing securities at December 31, 2014 and 2013, was comprised of: U.S. Treasury securities and other government-related debt securities; corporate debt securities; residential mortgage-backed and other mortgage- and asset-backed securities; money market mutual funds; and other short-term interest-bearing securities, composed principally of commercial paper. The fair values of our investment portfolio of interest-bearing securities were $26.6 billion and $22.3 billion at December 31, 2014 and 2013, respectively. Duration is a sensitivity measure that can be used to approximate the change in the value of a security that will result from a 100 basis point change in interest rates. Applying a duration model, a hypothetical 100 basis point increase in interest rates at December 31, 2014 and 2013, would have resulted in a reduction in the fair values of these securities of approximately $700 million and $470 million, respectively, on these dates. In addition, a hypothetical 100 basis point decrease in interest rates at December 31, 2014 and 2013, would not result in a material effect on income or cash flows in the respective ensuing year.</w:t>
      </w:r>
    </w:p>
    <w:p>
      <w:pPr>
        <w:spacing w:after="0" w:line="10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2014, we had outstanding debt with a carrying value of $30.7 billion and a fair value of $33.6 billion. As of December 31, 2013, we had outstanding debt with a carrying value of $32.1 billion and a fair value of $33.5 billion. Our outstanding debt was comprised primarily of debt with fixed interest rates as the carrying value of variable rate debt was $5.2 billion and $8.0 billion at December 31, 2014 and 2013, respectively. Changes in interest rates do not affect interest expense or cash flows on fixed-rate debt. Changes in interest rates would, however, affect the fair values of fixed-rate debt. A hypothetical 100 basis point decrease in interest rates relative to interest rates at December 31, 2014, would have resulted in an increase of approximately $2.5 billion in the aggregate fair value of our outstanding debt on this date. A hypothetical 100 basis point decrease in interest rates relative to the interest rates at December 31, 2013, would have resulted in an increase of approximately $2.2 billion in the aggregate fair value of our outstanding debt on this date. The analysis for the debt does not consider the impact that hypothetical changes in interest rates would have on the related interest rate swap contracts and cross-currency swap contracts.</w:t>
      </w:r>
    </w:p>
    <w:p>
      <w:pPr>
        <w:spacing w:after="0" w:line="10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 debt, we entered into interest rate swap contracts during 2014 and 2013, which qualified and were designated for accounting purposes as fair value hedges, for certain of our fixed-rate debt. These derivative contracts effectively converted a fixed-rate interest coupon to a floating-rate LIBOR-based coupon over the life of the respective note. Interest rate swap contracts with notional amounts totaling $6.65 billion and $4.4 billion were outstanding at December 31, 2014 and 2013, respectively. A hypothetical 100 basis point increase in interest rates relative to interest rates at December 31, 2014 and 2013 would have resulted in reductions in fair values of approximately $350 million and $300 million, respectively, on our interest rate swap contracts on these dates and would not result in a material effect on the related income or cash flows in the respective ensuing years. The analysis for the interest rate swap contracts does not consider the impact that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hypothetical changes in interest rates would have on the related fair values of debt that these interest rate sensitive instruments were designed to offset.</w:t>
      </w:r>
    </w:p>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2014 and 2013, we had outstanding cross-currency swap contracts with aggregate notional amounts of $2.7 billion that hedge certain of our foreign currency denominated debt and related interest payments. These contracts effectively convert interest payments and principal repayment of this debt to U.S. dollars from euros/pounds sterling and are designated for accounting purposes as cash flow hedges. A hypothetical 100 basis point adverse movement in interest rates relative to interest rates at December 31, 2014 and 2013, would have resulted in reductions in the fair values of our cross-currency swap contracts of approximately $260 million and $320 million, respectively, but would have no material effect on cash flows or income in the respective ensuing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sensitive financial instruments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international operations are affected by fluctuations in the value of the U.S. dollar as compared to foreign currencies, predominantly the euro. Increases and decreases in our international product sales from movements in foreign currency exchange rates are offset partially by the corresponding increases or decreases in our international operating expenses. Increases and decreases in our foreign currency denominated assets from movements in foreign currency exchange rates are offset partially by the corresponding increases or decreases in our foreign currency denominated liabilities. To further reduce our net exposure to foreign currency exchange rate fluctuations on our results of operations, we enter into foreign currency forward, option and cross-currency swap contracts.</w:t>
      </w:r>
    </w:p>
    <w:p>
      <w:pPr>
        <w:spacing w:after="0" w:line="10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2014, we had outstanding euro and pound sterling denominated debt with a carrying value and fair value of $3.3 billion and $3.7 billion, respectively. As of December 31, 2013, we had outstanding euro and pound sterling denominated debt with a carrying value and fair value of $3.6 billion and $3.7 billion, respectively. A hypothetical 20% adverse movement in foreign currency exchange rates compared with the U.S. dollar relative to exchange rates at December 31, 2014, would have resulted in an increase in fair value of this debt of approximately $740 million on this date and a reduction in income in the ensuing year of approximately $660 million, but would have no material effect on the related cash flows in the ensuing year. A hypothetical 20% adverse movement in foreign currency exchange rates compared with the U.S. dollar relative to exchange rates at December 31, 2013, would have resulted in an increase in fair value of this debt of approximately $750 million on this date and a reduction in income in the ensuing year of approximately $730 million, but would have no material effect on the related cash flows in the ensuing year. The analysis for this debt does not consider the offsetting impact that hypothetical changes in foreign currency exchange rates would have on the related cross-currency swap contracts which are in place for the majority of the foreign currency denominated debt.</w:t>
      </w:r>
    </w:p>
    <w:p>
      <w:pPr>
        <w:spacing w:after="0" w:line="10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With regard to our $2.7 billion notional amount of cross-currency swap contracts that are designated as cash flow hedges of certain of our debt denominated in euros and pound sterling as of December 31, 2014 and 2013, a hypothetical 20% adverse movement in foreign currency exchange rates compared with the U.S. dollar relative to exchange rates on these dates, would have resulted in a reduction in the fair values of these contracts of approximately $610 million and $660 million, respectively on these dates, but would have no material effect on the related cash flows in the respective ensuing years. The impact on income in the ensuing years from these contracts of this hypothetical adverse movement in foreign currency exchange rates would be fully offset by the corresponding hypothetical changes in the carrying amounts of the related hedged debt.</w:t>
      </w:r>
    </w:p>
    <w:p>
      <w:pPr>
        <w:spacing w:after="0" w:line="10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enter into foreign currency forward and options contracts that are designated for accounting purposes as cash flow hedges of certain anticipated foreign currency transactions. As of December 31, 2014, we had open foreign currency forward and options contracts, primarily euro-based, with notional amounts of $3.8 billion and $271 million, respectively. As of December 31, 2013, we had open foreign currency forward and options contracts, primarily euro-based, with notional amounts of $4.0 billion and $516 million, respectively. As of December 31, 2014, the net unrealized gain on these contracts was approximately $360 million. As of December 31, 2013, the net unrealized loss on these contracts was not material. With regard to foreign currency forward and option contracts that were open at December 31, 2014, a hypothetical 20% adverse movement in foreign currency exchange rates compared with the U.S. dollar relative to exchange rates at December 31, 2014, would have resulted in a reduction in fair value of these contracts of approximately $700 million on this date and, in the ensuing year, a reduction in income and cash flows of approximately $380 million. With regard to contracts that were open at December 31, 2013, a hypothetical 20% adverse movement in foreign currency exchange rates compared with the U.S. dollar relative to exchange rates at December 31, 2013, would have resulted in a reduction in fair value of these contracts of approximately $820 million on this date and, in the ensuing year, a reduction in income and cash flows of approximately $400 million. The analysis does not consider the impact that hypothetical changes in foreign currency exchange rates would have on anticipated transactions that these foreign currency sensitive instruments were designed to offset.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0" w:right="239" w:bottom="1440" w:gutter="0" w:footer="0" w:header="0"/>
        </w:sectPr>
      </w:pPr>
    </w:p>
    <w:bookmarkStart w:id="62" w:name="page63"/>
    <w:bookmarkEnd w:id="62"/>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2014 and 2013, we had open foreign currency forward contracts with notional amounts totaling $875 million and $999 million, respectively, that hedged fluctuations of certain assets and liabilities denominated in foreign currencies but were not designated as hedges for accounting purposes. These contracts had no material net unrealized gains or losses at December 31, 2014 and 2013. With regard to these foreign currency forward contracts that were open at December 31, 2014 and 2013, a hypothetical 20% adverse movement in foreign currency exchange rates compared with the U.S. dollar relative to exchange rates on these dates would have resulted in a reduction of approximately $80 million and $160 million, respectively, in the fair value of these contracts on this date, but would not result in a material effect on income or cash flows in the respective ensuing year. The analysis does not consider the impact that hypothetical changes in foreign currency exchange rates would have on assets and liabilities that these foreign currency sensitive instruments were designed to offset.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price sensitive financial instruments</w:t>
      </w:r>
    </w:p>
    <w:p>
      <w:pPr>
        <w:spacing w:after="0" w:line="11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and 2013, we were also exposed to price risk on equity securities included in our portfolio of investments, which were acquired primarily for the promotion of business and strategic objectives. These investments are generally in small capitalization stocks in the biotechnology industry sector. Price risk relative to our equity investment portfolio as of December 31, 2014 and 2013, was not 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Counterparty credit risks</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financial instruments, including derivatives, are subject to counterparty credit risk which we consider as part of the overall fair value measurement. Our financial risk management policy limits derivative transactions by requiring transactions to be with institutions with minimum credit ratings of A- or equivalent by S&amp;P, Moody's or Fitch and requires placing exposure limits on the amount with any individual counterparty. In addition, we have an investment policy that limits investments to certain types of debt and money market instruments issued by institutions primarily with investment grade credit ratings and places restriction on maturities and concentrations by asset class and issuer.</w:t>
      </w:r>
    </w:p>
    <w:p>
      <w:pPr>
        <w:spacing w:after="0" w:line="18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6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financial statements and schedule listed in Item 15(a)1 and (a)2 of Part IV and included in this Annual Report on Form 10-K.</w:t>
      </w:r>
    </w:p>
    <w:p>
      <w:pPr>
        <w:spacing w:after="0" w:line="13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2014.</w:t>
      </w:r>
    </w:p>
    <w:p>
      <w:pPr>
        <w:spacing w:after="0" w:line="10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December 31,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2014. In making this assessment, management used the criteria set forth by the Committee of Sponsoring Organizations of the Treadway Commission (COSO) in Internal Control-Integrated Framework (2013 framework). Based on our assessment, management believes that the Company maintained effective internal control over financial reporting as of December 31, 2014, based on the COSO criteria.</w:t>
      </w:r>
    </w:p>
    <w:p>
      <w:pPr>
        <w:spacing w:after="0" w:line="9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2014.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0" w:right="239" w:bottom="1440" w:gutter="0" w:footer="0" w:header="0"/>
        </w:sectPr>
      </w:pPr>
    </w:p>
    <w:bookmarkStart w:id="64" w:name="page65"/>
    <w:bookmarkEnd w:id="64"/>
    <w:p>
      <w:pPr>
        <w:ind w:right="3460" w:firstLine="3453"/>
        <w:spacing w:after="0" w:line="409"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The Board of Directors and Stockholders of Amgen Inc.</w:t>
      </w:r>
    </w:p>
    <w:p>
      <w:pPr>
        <w:spacing w:after="0" w:line="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Amgen Inc.’s (the “Company”) internal control over financial reporting as of December 31, 2014, based on criteria established in Internal Control — Integrated Framework issued by the Committee of Sponsoring Organizations of the Treadway Commission (2013 framework) (the "COSO criteria"). Amgen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our opinion, Amgen Inc. maintained, in all material respects, effective internal control over financial reporting as of December 31, 2014, based on the COSO criteria.</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as of December 31, 2014 and 2013, and the related Consolidated Statements of Income, Comprehensive Income, Stockholders’ Equity and Cash Flows for each of the three years in the period ended December 31, 2014 of Amgen Inc. and our report dated February 19, 2015 expressed an unqualified opinion thereon.</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pacing w:after="0" w:line="28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76"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 OF THE REGISTRANT</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Information about our Directors is incorporated by reference from the section entitled ITEM 1 — ELECTION OF DIRECTORS in our Proxy Statement for the 2015 Annual Meeting of Stockholders to be filed with the SEC within 120 days of December 31, 2014 (the Proxy Statement). Information about compliance with Section 16(a) of the Securities Exchange Act of 1934 is incorporated by reference from the section entitled OTHER MATTERS — Section 16(a) Beneficial Ownership Reporting Compliance in our Proxy Statement. Information about the procedures by which stockholders may recommend nominees for the Board of Directors is incorporated by reference from Appendix A — AMGEN INC. BOARD OF DIRECTORS GUIDELINES FOR DIRECTOR QUALIFICATIONS AND EVALUATIONS in our Proxy Statement. Information about our Audit Committee, members of the committee and our Audit Committee financial experts is incorporated by reference from the section entitled CORPORATE GOVERNANCE — Board Committees and Charters — Audit Committee in our Proxy Statement. Information about our executive officers is contained in the discussion entitled Item 1. Business — Executive Officers of the Registrant.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www.amgen.com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26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Information about director and executive compensation is incorporated by reference from the section entitled EXECUTIVE COMPENSATION in our Proxy Statement. Information about compensation committee matters is incorporated by reference from the sections entitled CORPORATE GOVERNANCE — Board Committees and Charters — Compensation and Management Development Committee and CORPORATE GOVERNANCE — Compensation Committee Report in our Proxy Statement.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76" w:right="239" w:bottom="1440" w:gutter="0" w:footer="0" w:header="0"/>
        </w:sectPr>
      </w:pPr>
    </w:p>
    <w:bookmarkStart w:id="66" w:name="page67"/>
    <w:bookmarkEnd w:id="66"/>
    <w:p>
      <w:pPr>
        <w:ind w:left="1300" w:right="24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Existing Equity Compensation Plans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2014, concerning the shares of our Common Stock that may be issued under any form of award granted under our equity compensation plans in effect as of December 31, 2014 (including upon the exercise of options, the vesting of awards of restricted stock units, or RSUs, or when performance units are earned, and related dividend equivalents have been granted).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48"/>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Available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 and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0" w:type="dxa"/>
            <w:vAlign w:val="bottom"/>
          </w:tcPr>
          <w:p>
            <w:pPr>
              <w:spacing w:after="0"/>
              <w:rPr>
                <w:sz w:val="1"/>
                <w:szCs w:val="1"/>
                <w:color w:val="auto"/>
              </w:rPr>
            </w:pPr>
          </w:p>
        </w:tc>
      </w:tr>
      <w:tr>
        <w:trPr>
          <w:trHeight w:val="238"/>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 approved by Amgen security holders: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and Restated 2009 Equity Incentive Plan</w:t>
            </w:r>
            <w:r>
              <w:rPr>
                <w:rFonts w:ascii="Times New Roman" w:cs="Times New Roman" w:eastAsia="Times New Roman" w:hAnsi="Times New Roman"/>
                <w:sz w:val="25"/>
                <w:szCs w:val="25"/>
                <w:color w:val="auto"/>
                <w:vertAlign w:val="superscript"/>
              </w:rPr>
              <w:t>(1)</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16,045,767</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51,960,037</w:t>
            </w:r>
          </w:p>
        </w:tc>
        <w:tc>
          <w:tcPr>
            <w:tcW w:w="0" w:type="dxa"/>
            <w:vAlign w:val="bottom"/>
          </w:tcPr>
          <w:p>
            <w:pPr>
              <w:spacing w:after="0"/>
              <w:rPr>
                <w:sz w:val="1"/>
                <w:szCs w:val="1"/>
                <w:color w:val="auto"/>
              </w:rPr>
            </w:pPr>
          </w:p>
        </w:tc>
      </w:tr>
      <w:tr>
        <w:trPr>
          <w:trHeight w:val="270"/>
        </w:trPr>
        <w:tc>
          <w:tcPr>
            <w:tcW w:w="6540" w:type="dxa"/>
            <w:vAlign w:val="bottom"/>
            <w:gridSpan w:val="2"/>
          </w:tcPr>
          <w:p>
            <w:pPr>
              <w:ind w:left="200"/>
              <w:spacing w:after="0" w:line="270" w:lineRule="exact"/>
              <w:rPr>
                <w:sz w:val="20"/>
                <w:szCs w:val="20"/>
                <w:color w:val="auto"/>
              </w:rPr>
            </w:pPr>
            <w:r>
              <w:rPr>
                <w:rFonts w:ascii="Times New Roman" w:cs="Times New Roman" w:eastAsia="Times New Roman" w:hAnsi="Times New Roman"/>
                <w:sz w:val="18"/>
                <w:szCs w:val="18"/>
                <w:color w:val="auto"/>
              </w:rPr>
              <w:t>Amended and Restated 1991 Equity Incentive Plan</w:t>
            </w:r>
            <w:r>
              <w:rPr>
                <w:rFonts w:ascii="Times New Roman" w:cs="Times New Roman" w:eastAsia="Times New Roman" w:hAnsi="Times New Roman"/>
                <w:sz w:val="25"/>
                <w:szCs w:val="25"/>
                <w:color w:val="auto"/>
                <w:vertAlign w:val="superscript"/>
              </w:rPr>
              <w:t>(2)</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1,201,310</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Amended and Restated Employee Stock Purchase Plan</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5,205,930</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Approved Plans</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gridSpan w:val="2"/>
            <w:vMerge w:val="continue"/>
          </w:tcPr>
          <w:p>
            <w:pPr>
              <w:spacing w:after="0"/>
              <w:rPr>
                <w:sz w:val="20"/>
                <w:szCs w:val="20"/>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17,247,077</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57,165,967</w:t>
            </w:r>
          </w:p>
        </w:tc>
        <w:tc>
          <w:tcPr>
            <w:tcW w:w="0" w:type="dxa"/>
            <w:vAlign w:val="bottom"/>
          </w:tcPr>
          <w:p>
            <w:pPr>
              <w:spacing w:after="0"/>
              <w:rPr>
                <w:sz w:val="1"/>
                <w:szCs w:val="1"/>
                <w:color w:val="auto"/>
              </w:rPr>
            </w:pPr>
          </w:p>
        </w:tc>
      </w:tr>
      <w:tr>
        <w:trPr>
          <w:trHeight w:val="27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 not approved by Amgen security holders:</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 and Restated 1999 Equity Incentive Plan</w:t>
            </w:r>
            <w:r>
              <w:rPr>
                <w:rFonts w:ascii="Times New Roman" w:cs="Times New Roman" w:eastAsia="Times New Roman" w:hAnsi="Times New Roman"/>
                <w:sz w:val="25"/>
                <w:szCs w:val="25"/>
                <w:color w:val="auto"/>
                <w:vertAlign w:val="superscript"/>
              </w:rPr>
              <w:t>(3)</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123,406</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40" w:type="dxa"/>
            <w:vAlign w:val="bottom"/>
            <w:gridSpan w:val="2"/>
          </w:tcPr>
          <w:p>
            <w:pPr>
              <w:ind w:left="360"/>
              <w:spacing w:after="0" w:line="270" w:lineRule="exact"/>
              <w:rPr>
                <w:sz w:val="20"/>
                <w:szCs w:val="20"/>
                <w:color w:val="auto"/>
              </w:rPr>
            </w:pPr>
            <w:r>
              <w:rPr>
                <w:rFonts w:ascii="Times New Roman" w:cs="Times New Roman" w:eastAsia="Times New Roman" w:hAnsi="Times New Roman"/>
                <w:sz w:val="18"/>
                <w:szCs w:val="18"/>
                <w:color w:val="auto"/>
              </w:rPr>
              <w:t>Amended and Restated 1999 Incentive Stock Plan</w:t>
            </w:r>
            <w:r>
              <w:rPr>
                <w:rFonts w:ascii="Times New Roman" w:cs="Times New Roman" w:eastAsia="Times New Roman" w:hAnsi="Times New Roman"/>
                <w:sz w:val="25"/>
                <w:szCs w:val="25"/>
                <w:color w:val="auto"/>
                <w:vertAlign w:val="superscript"/>
              </w:rPr>
              <w:t>(4)</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40" w:type="dxa"/>
            <w:vAlign w:val="bottom"/>
            <w:gridSpan w:val="2"/>
          </w:tcPr>
          <w:p>
            <w:pPr>
              <w:ind w:left="360"/>
              <w:spacing w:after="0" w:line="270" w:lineRule="exact"/>
              <w:rPr>
                <w:sz w:val="20"/>
                <w:szCs w:val="20"/>
                <w:color w:val="auto"/>
              </w:rPr>
            </w:pPr>
            <w:r>
              <w:rPr>
                <w:rFonts w:ascii="Times New Roman" w:cs="Times New Roman" w:eastAsia="Times New Roman" w:hAnsi="Times New Roman"/>
                <w:sz w:val="18"/>
                <w:szCs w:val="18"/>
                <w:color w:val="auto"/>
              </w:rPr>
              <w:t>Amended and Restated Assumed Avidia Incentive Equity Plan</w:t>
            </w:r>
            <w:r>
              <w:rPr>
                <w:rFonts w:ascii="Times New Roman" w:cs="Times New Roman" w:eastAsia="Times New Roman" w:hAnsi="Times New Roman"/>
                <w:sz w:val="25"/>
                <w:szCs w:val="25"/>
                <w:color w:val="auto"/>
                <w:vertAlign w:val="superscript"/>
              </w:rPr>
              <w:t>(5)</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6540" w:type="dxa"/>
            <w:vAlign w:val="bottom"/>
            <w:gridSpan w:val="2"/>
          </w:tcPr>
          <w:p>
            <w:pPr>
              <w:ind w:left="360"/>
              <w:spacing w:after="0" w:line="262" w:lineRule="exact"/>
              <w:rPr>
                <w:sz w:val="20"/>
                <w:szCs w:val="20"/>
                <w:color w:val="auto"/>
              </w:rPr>
            </w:pPr>
            <w:r>
              <w:rPr>
                <w:rFonts w:ascii="Times New Roman" w:cs="Times New Roman" w:eastAsia="Times New Roman" w:hAnsi="Times New Roman"/>
                <w:sz w:val="18"/>
                <w:szCs w:val="18"/>
                <w:color w:val="auto"/>
              </w:rPr>
              <w:t>Amgen Profit Sharing Plan for Employees in Ireland</w:t>
            </w:r>
            <w:r>
              <w:rPr>
                <w:rFonts w:ascii="Times New Roman" w:cs="Times New Roman" w:eastAsia="Times New Roman" w:hAnsi="Times New Roman"/>
                <w:sz w:val="25"/>
                <w:szCs w:val="25"/>
                <w:color w:val="auto"/>
                <w:vertAlign w:val="superscript"/>
              </w:rPr>
              <w:t>(6)</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143,220</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Unapproved Plans</w:t>
            </w:r>
          </w:p>
        </w:tc>
        <w:tc>
          <w:tcPr>
            <w:tcW w:w="15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134,811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143,220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All Plans</w:t>
            </w: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17,381,888</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57,309,187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43" w:lineRule="auto"/>
        <w:tabs>
          <w:tab w:leader="none" w:pos="34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Amended and Restated 2009 Equity Incentive Plan employs a fungible share counting formula for determining the number of shares available for issuance under the plan. In accordance with this formula, each option or stock appreciation right counts as one share, while each restricted stock unit, performance unit or dividend equivalent counts as 1.9 shares. The number under column (a) represents the actual number of shares issuable under our outstanding awards without giving effect to the fungible share 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150% of the performance units granted.</w:t>
      </w:r>
    </w:p>
    <w:p>
      <w:pPr>
        <w:spacing w:after="0" w:line="64" w:lineRule="exact"/>
        <w:rPr>
          <w:rFonts w:ascii="Times New Roman" w:cs="Times New Roman" w:eastAsia="Times New Roman" w:hAnsi="Times New Roman"/>
          <w:sz w:val="25"/>
          <w:szCs w:val="25"/>
          <w:color w:val="auto"/>
          <w:vertAlign w:val="superscript"/>
        </w:rPr>
      </w:pPr>
    </w:p>
    <w:p>
      <w:pPr>
        <w:jc w:val="both"/>
        <w:ind w:left="340"/>
        <w:spacing w:after="0" w:line="255"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number of outstanding awards under column (a) includes, as of December 31, 2014, (i) 2,817,801 shares issuable upon the exercise of outstanding options with a weighted-average exercise price of approximately $57.37, (ii) 7,364,475 shares issuable upon the vesting of outstanding RSUs (including 199,755 related dividend equivalents), and (iii) 5,863,491 shares subject to outstanding 2012, 2013 and 2014 performance units (including 198,247 related dividend equivalents). The weighted average exercise price shown in column (b) is for the outstanding options only. The number of available shares under column (c) represents the number of shares that remain available for future issuance under this plan as of December 31, 2014 employing the fungible share formula and presumes the issuance of target shares under the performance units granted in 2012, 2013 and 2014 and related dividend equivalents. The numbers under columns (a) and (c) do not give effect to the additional shares that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38" w:right="239" w:bottom="1440" w:gutter="0" w:footer="0" w:header="0"/>
        </w:sectPr>
      </w:pPr>
    </w:p>
    <w:bookmarkStart w:id="67" w:name="page68"/>
    <w:bookmarkEnd w:id="67"/>
    <w:p>
      <w:pPr>
        <w:ind w:left="340"/>
        <w:spacing w:after="0" w:line="282" w:lineRule="auto"/>
        <w:rPr>
          <w:sz w:val="20"/>
          <w:szCs w:val="20"/>
          <w:color w:val="auto"/>
        </w:rPr>
      </w:pPr>
      <w:r>
        <w:rPr>
          <w:rFonts w:ascii="Times New Roman" w:cs="Times New Roman" w:eastAsia="Times New Roman" w:hAnsi="Times New Roman"/>
          <w:sz w:val="18"/>
          <w:szCs w:val="18"/>
          <w:color w:val="auto"/>
        </w:rPr>
        <w:t>could be issuable in the event above target on the performance goals under these outstanding performance units are achieved. Maximum performance under these goals could result in 150% of target shares being awarded.</w:t>
      </w:r>
    </w:p>
    <w:p>
      <w:pPr>
        <w:spacing w:after="0" w:line="27" w:lineRule="exact"/>
        <w:rPr>
          <w:sz w:val="20"/>
          <w:szCs w:val="20"/>
          <w:color w:val="auto"/>
        </w:rPr>
      </w:pPr>
    </w:p>
    <w:p>
      <w:pPr>
        <w:jc w:val="both"/>
        <w:ind w:left="340" w:hanging="332"/>
        <w:spacing w:after="0" w:line="218"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plan has terminated as to future grants. The number under column (a) with respect to this plan includes 28,583 shares issuable upon the vesting of outstanding RSUs (including 1,768 related dividend equivalents), which are not included in calculating the weighted average exercise price in column</w:t>
      </w:r>
    </w:p>
    <w:p>
      <w:pPr>
        <w:spacing w:after="0" w:line="1" w:lineRule="exact"/>
        <w:rPr>
          <w:rFonts w:ascii="Times New Roman" w:cs="Times New Roman" w:eastAsia="Times New Roman" w:hAnsi="Times New Roman"/>
          <w:sz w:val="25"/>
          <w:szCs w:val="25"/>
          <w:color w:val="auto"/>
          <w:vertAlign w:val="superscript"/>
        </w:rPr>
      </w:pPr>
    </w:p>
    <w:p>
      <w:pPr>
        <w:ind w:left="3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w:t>
      </w:r>
    </w:p>
    <w:p>
      <w:pPr>
        <w:spacing w:after="0" w:line="206"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plan has terminated as to future grants. This plan was originally assumed pursuant to the terms of the merger agreement between Amgen and Immunex which was approved by our stockholders in May 2002. This plan was previously approved by Immunex’s shareholders.</w:t>
      </w:r>
    </w:p>
    <w:p>
      <w:pPr>
        <w:spacing w:after="0" w:line="199" w:lineRule="exact"/>
        <w:rPr>
          <w:rFonts w:ascii="Times New Roman" w:cs="Times New Roman" w:eastAsia="Times New Roman" w:hAnsi="Times New Roman"/>
          <w:sz w:val="25"/>
          <w:szCs w:val="25"/>
          <w:color w:val="auto"/>
          <w:vertAlign w:val="superscript"/>
        </w:rPr>
      </w:pPr>
    </w:p>
    <w:p>
      <w:pPr>
        <w:jc w:val="both"/>
        <w:ind w:left="340" w:hanging="332"/>
        <w:spacing w:after="0" w:line="228"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plan has terminated as to future grants. This plan was originally assumed by Amgen in connection with the merger of Abgenix with and into Amgen Fremont Inc., a wholly owned subsidiary of Amgen, on April 1, 2006. The number under column (a) with respect to this plan includes 57 shares issuable upon the vesting of outstanding RSUs, which are not included in calculating the weighted average exercise price in column (b).</w:t>
      </w:r>
    </w:p>
    <w:p>
      <w:pPr>
        <w:spacing w:after="0" w:line="197" w:lineRule="exact"/>
        <w:rPr>
          <w:rFonts w:ascii="Times New Roman" w:cs="Times New Roman" w:eastAsia="Times New Roman" w:hAnsi="Times New Roman"/>
          <w:sz w:val="25"/>
          <w:szCs w:val="25"/>
          <w:color w:val="auto"/>
          <w:vertAlign w:val="superscript"/>
        </w:rPr>
      </w:pPr>
    </w:p>
    <w:p>
      <w:pPr>
        <w:ind w:left="340" w:hanging="332"/>
        <w:spacing w:after="0" w:line="218"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plan has terminated as to future grants. This plan was originally assumed by Amgen in connection with the merger of Avidia, Inc. with and into Amgen Mountain View Inc., a wholly owned subsidiary of Amgen, on October 24, 2006.</w:t>
      </w:r>
    </w:p>
    <w:p>
      <w:pPr>
        <w:spacing w:after="0" w:line="199" w:lineRule="exact"/>
        <w:rPr>
          <w:rFonts w:ascii="Times New Roman" w:cs="Times New Roman" w:eastAsia="Times New Roman" w:hAnsi="Times New Roman"/>
          <w:sz w:val="25"/>
          <w:szCs w:val="25"/>
          <w:color w:val="auto"/>
          <w:vertAlign w:val="superscript"/>
        </w:rPr>
      </w:pPr>
    </w:p>
    <w:p>
      <w:pPr>
        <w:jc w:val="both"/>
        <w:ind w:left="340" w:hanging="332"/>
        <w:spacing w:after="0" w:line="233" w:lineRule="auto"/>
        <w:tabs>
          <w:tab w:leader="none" w:pos="34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Amgen Profit Sharing Plan for Employees in Ireland (the Profit Sharing Plan) was approved by the Board of Directors on July 28, 2011. The Profit Sharing Plan permits eligible employees of the Company’s subsidiaries located in Ireland, which participate in the Profit Sharing Plan, to apply a portion of their qualifying bonus and salary to the purchase the Company’s Common Stock on the open market at the market price by a third-party trustee as described in the Profit Sharing Plan.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 and Certain Beneficial Owners</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spacing w:after="0" w:line="25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Information about certain relationships and related transactions and director independence is incorporated by reference from the sections entitled CERTAIN RELATIONSHIPS AND RELATED TRANSACTIONS and CORPORATE GOVERNANCE — Board Independence in our Proxy Statement.</w:t>
      </w:r>
    </w:p>
    <w:p>
      <w:pPr>
        <w:spacing w:after="0" w:line="23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Information about the fees for professional services rendered by our independent registered public accountants is incorporated by reference from the section entitled AUDIT MATTERS — Independent Registered Public Accountants in our Proxy Statement.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61" w:right="239" w:bottom="1440" w:gutter="0" w:footer="0" w:header="0"/>
        </w:sectPr>
      </w:pPr>
    </w:p>
    <w:bookmarkStart w:id="68" w:name="page69"/>
    <w:bookmarkEnd w:id="68"/>
    <w:tbl>
      <w:tblPr>
        <w:tblLayout w:type="fixed"/>
        <w:tblInd w:w="4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862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13"/>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6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8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(a)1.</w:t>
            </w: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Index to Financial Statements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9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herein:</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4"/>
        </w:trPr>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8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3"/>
        </w:trPr>
        <w:tc>
          <w:tcPr>
            <w:tcW w:w="9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840" w:type="dxa"/>
            <w:vAlign w:val="bottom"/>
          </w:tcPr>
          <w:p>
            <w:pPr>
              <w:spacing w:after="0"/>
              <w:rPr>
                <w:sz w:val="17"/>
                <w:szCs w:val="17"/>
                <w:color w:val="auto"/>
              </w:rPr>
            </w:pPr>
          </w:p>
        </w:tc>
        <w:tc>
          <w:tcPr>
            <w:tcW w:w="300" w:type="dxa"/>
            <w:vAlign w:val="bottom"/>
            <w:tcBorders>
              <w:bottom w:val="single" w:sz="8" w:color="0000EE"/>
            </w:tcBorders>
            <w:gridSpan w:val="3"/>
          </w:tcPr>
          <w:p>
            <w:pPr>
              <w:jc w:val="center"/>
              <w:ind w:right="4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F-1</w:t>
              </w:r>
            </w:hyperlink>
          </w:p>
        </w:tc>
        <w:tc>
          <w:tcPr>
            <w:tcW w:w="800" w:type="dxa"/>
            <w:vAlign w:val="bottom"/>
          </w:tcPr>
          <w:p>
            <w:pPr>
              <w:spacing w:after="0"/>
              <w:rPr>
                <w:sz w:val="17"/>
                <w:szCs w:val="17"/>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Income for each of the three years in the period ended December 31, 2014</w:t>
            </w:r>
          </w:p>
        </w:tc>
        <w:tc>
          <w:tcPr>
            <w:tcW w:w="840" w:type="dxa"/>
            <w:vAlign w:val="bottom"/>
          </w:tcPr>
          <w:p>
            <w:pPr>
              <w:spacing w:after="0"/>
              <w:rPr>
                <w:sz w:val="24"/>
                <w:szCs w:val="24"/>
                <w:color w:val="auto"/>
              </w:rPr>
            </w:pPr>
          </w:p>
        </w:tc>
        <w:tc>
          <w:tcPr>
            <w:tcW w:w="300" w:type="dxa"/>
            <w:vAlign w:val="bottom"/>
            <w:tcBorders>
              <w:bottom w:val="single" w:sz="8" w:color="0000EE"/>
            </w:tcBorders>
            <w:gridSpan w:val="3"/>
          </w:tcPr>
          <w:p>
            <w:pPr>
              <w:jc w:val="center"/>
              <w:ind w:right="4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F-2</w:t>
              </w:r>
            </w:hyperlink>
          </w:p>
        </w:tc>
        <w:tc>
          <w:tcPr>
            <w:tcW w:w="800" w:type="dxa"/>
            <w:vAlign w:val="bottom"/>
          </w:tcPr>
          <w:p>
            <w:pPr>
              <w:spacing w:after="0"/>
              <w:rPr>
                <w:sz w:val="24"/>
                <w:szCs w:val="24"/>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2014</w:t>
            </w:r>
          </w:p>
        </w:tc>
        <w:tc>
          <w:tcPr>
            <w:tcW w:w="840" w:type="dxa"/>
            <w:vAlign w:val="bottom"/>
          </w:tcPr>
          <w:p>
            <w:pPr>
              <w:spacing w:after="0"/>
              <w:rPr>
                <w:sz w:val="24"/>
                <w:szCs w:val="24"/>
                <w:color w:val="auto"/>
              </w:rPr>
            </w:pPr>
          </w:p>
        </w:tc>
        <w:tc>
          <w:tcPr>
            <w:tcW w:w="300" w:type="dxa"/>
            <w:vAlign w:val="bottom"/>
            <w:tcBorders>
              <w:bottom w:val="single" w:sz="8" w:color="0000EE"/>
            </w:tcBorders>
            <w:gridSpan w:val="3"/>
          </w:tcPr>
          <w:p>
            <w:pPr>
              <w:jc w:val="center"/>
              <w:ind w:right="40"/>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F-3</w:t>
              </w:r>
            </w:hyperlink>
          </w:p>
        </w:tc>
        <w:tc>
          <w:tcPr>
            <w:tcW w:w="800" w:type="dxa"/>
            <w:vAlign w:val="bottom"/>
          </w:tcPr>
          <w:p>
            <w:pPr>
              <w:spacing w:after="0"/>
              <w:rPr>
                <w:sz w:val="24"/>
                <w:szCs w:val="24"/>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2014 and 2013</w:t>
            </w:r>
          </w:p>
        </w:tc>
        <w:tc>
          <w:tcPr>
            <w:tcW w:w="840" w:type="dxa"/>
            <w:vAlign w:val="bottom"/>
          </w:tcPr>
          <w:p>
            <w:pPr>
              <w:spacing w:after="0"/>
              <w:rPr>
                <w:sz w:val="24"/>
                <w:szCs w:val="24"/>
                <w:color w:val="auto"/>
              </w:rPr>
            </w:pPr>
          </w:p>
        </w:tc>
        <w:tc>
          <w:tcPr>
            <w:tcW w:w="300" w:type="dxa"/>
            <w:vAlign w:val="bottom"/>
            <w:tcBorders>
              <w:bottom w:val="single" w:sz="8" w:color="0000EE"/>
            </w:tcBorders>
            <w:gridSpan w:val="3"/>
          </w:tcPr>
          <w:p>
            <w:pPr>
              <w:jc w:val="center"/>
              <w:ind w:right="4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F-4</w:t>
              </w:r>
            </w:hyperlink>
          </w:p>
        </w:tc>
        <w:tc>
          <w:tcPr>
            <w:tcW w:w="800" w:type="dxa"/>
            <w:vAlign w:val="bottom"/>
          </w:tcPr>
          <w:p>
            <w:pPr>
              <w:spacing w:after="0"/>
              <w:rPr>
                <w:sz w:val="24"/>
                <w:szCs w:val="24"/>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each of the three years in the period ended December 31, 2014</w:t>
            </w:r>
          </w:p>
        </w:tc>
        <w:tc>
          <w:tcPr>
            <w:tcW w:w="840" w:type="dxa"/>
            <w:vAlign w:val="bottom"/>
          </w:tcPr>
          <w:p>
            <w:pPr>
              <w:spacing w:after="0"/>
              <w:rPr>
                <w:sz w:val="24"/>
                <w:szCs w:val="24"/>
                <w:color w:val="auto"/>
              </w:rPr>
            </w:pPr>
          </w:p>
        </w:tc>
        <w:tc>
          <w:tcPr>
            <w:tcW w:w="300" w:type="dxa"/>
            <w:vAlign w:val="bottom"/>
            <w:tcBorders>
              <w:bottom w:val="single" w:sz="8" w:color="0000EE"/>
            </w:tcBorders>
            <w:gridSpan w:val="3"/>
          </w:tcPr>
          <w:p>
            <w:pPr>
              <w:jc w:val="center"/>
              <w:ind w:right="40"/>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F-5</w:t>
              </w:r>
            </w:hyperlink>
          </w:p>
        </w:tc>
        <w:tc>
          <w:tcPr>
            <w:tcW w:w="800" w:type="dxa"/>
            <w:vAlign w:val="bottom"/>
          </w:tcPr>
          <w:p>
            <w:pPr>
              <w:spacing w:after="0"/>
              <w:rPr>
                <w:sz w:val="24"/>
                <w:szCs w:val="24"/>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2014</w:t>
            </w:r>
          </w:p>
        </w:tc>
        <w:tc>
          <w:tcPr>
            <w:tcW w:w="840" w:type="dxa"/>
            <w:vAlign w:val="bottom"/>
          </w:tcPr>
          <w:p>
            <w:pPr>
              <w:spacing w:after="0"/>
              <w:rPr>
                <w:sz w:val="24"/>
                <w:szCs w:val="24"/>
                <w:color w:val="auto"/>
              </w:rPr>
            </w:pPr>
          </w:p>
        </w:tc>
        <w:tc>
          <w:tcPr>
            <w:tcW w:w="26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F-6</w:t>
              </w:r>
            </w:hyperlink>
          </w:p>
        </w:tc>
        <w:tc>
          <w:tcPr>
            <w:tcW w:w="840" w:type="dxa"/>
            <w:vAlign w:val="bottom"/>
            <w:gridSpan w:val="2"/>
          </w:tcPr>
          <w:p>
            <w:pPr>
              <w:spacing w:after="0"/>
              <w:rPr>
                <w:sz w:val="24"/>
                <w:szCs w:val="24"/>
                <w:color w:val="auto"/>
              </w:rPr>
            </w:pPr>
          </w:p>
        </w:tc>
      </w:tr>
      <w:tr>
        <w:trPr>
          <w:trHeight w:val="38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40" w:type="dxa"/>
            <w:vAlign w:val="bottom"/>
          </w:tcPr>
          <w:p>
            <w:pPr>
              <w:spacing w:after="0"/>
              <w:rPr>
                <w:sz w:val="24"/>
                <w:szCs w:val="24"/>
                <w:color w:val="auto"/>
              </w:rPr>
            </w:pPr>
          </w:p>
        </w:tc>
        <w:tc>
          <w:tcPr>
            <w:tcW w:w="1100" w:type="dxa"/>
            <w:vAlign w:val="bottom"/>
            <w:gridSpan w:val="4"/>
          </w:tcPr>
          <w:p>
            <w:pPr>
              <w:jc w:val="center"/>
              <w:ind w:right="860"/>
              <w:spacing w:after="0"/>
              <w:rPr>
                <w:rFonts w:ascii="Times New Roman" w:cs="Times New Roman" w:eastAsia="Times New Roman" w:hAnsi="Times New Roman"/>
                <w:sz w:val="18"/>
                <w:szCs w:val="18"/>
                <w:color w:val="0000EE"/>
                <w:w w:val="95"/>
              </w:rPr>
            </w:pPr>
            <w:hyperlink w:anchor="page83">
              <w:r>
                <w:rPr>
                  <w:rFonts w:ascii="Times New Roman" w:cs="Times New Roman" w:eastAsia="Times New Roman" w:hAnsi="Times New Roman"/>
                  <w:sz w:val="18"/>
                  <w:szCs w:val="18"/>
                  <w:color w:val="0000EE"/>
                  <w:w w:val="95"/>
                </w:rPr>
                <w:t>F-7</w:t>
              </w:r>
            </w:hyperlink>
          </w:p>
        </w:tc>
      </w:tr>
      <w:tr>
        <w:trPr>
          <w:trHeight w:val="372"/>
        </w:trPr>
        <w:tc>
          <w:tcPr>
            <w:tcW w:w="8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(a)2.</w:t>
            </w: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Index to Financial Statement Schedules</w:t>
            </w:r>
          </w:p>
        </w:tc>
        <w:tc>
          <w:tcPr>
            <w:tcW w:w="8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9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following Schedule is filed as part of this Annual Report on Form 10-K:</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4"/>
        </w:trPr>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8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3"/>
        </w:trPr>
        <w:tc>
          <w:tcPr>
            <w:tcW w:w="9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II. Valuation and Qualifying Accounts</w:t>
            </w:r>
          </w:p>
        </w:tc>
        <w:tc>
          <w:tcPr>
            <w:tcW w:w="840" w:type="dxa"/>
            <w:vAlign w:val="bottom"/>
          </w:tcPr>
          <w:p>
            <w:pPr>
              <w:spacing w:after="0"/>
              <w:rPr>
                <w:sz w:val="17"/>
                <w:szCs w:val="17"/>
                <w:color w:val="auto"/>
              </w:rPr>
            </w:pPr>
          </w:p>
        </w:tc>
        <w:tc>
          <w:tcPr>
            <w:tcW w:w="1100" w:type="dxa"/>
            <w:vAlign w:val="bottom"/>
            <w:gridSpan w:val="4"/>
          </w:tcPr>
          <w:p>
            <w:pPr>
              <w:jc w:val="center"/>
              <w:ind w:right="800"/>
              <w:spacing w:after="0" w:line="202" w:lineRule="exact"/>
              <w:rPr>
                <w:rFonts w:ascii="Times New Roman" w:cs="Times New Roman" w:eastAsia="Times New Roman" w:hAnsi="Times New Roman"/>
                <w:sz w:val="18"/>
                <w:szCs w:val="18"/>
                <w:color w:val="0000EE"/>
                <w:w w:val="88"/>
              </w:rPr>
            </w:pPr>
            <w:hyperlink w:anchor="page128">
              <w:r>
                <w:rPr>
                  <w:rFonts w:ascii="Times New Roman" w:cs="Times New Roman" w:eastAsia="Times New Roman" w:hAnsi="Times New Roman"/>
                  <w:sz w:val="18"/>
                  <w:szCs w:val="18"/>
                  <w:color w:val="0000EE"/>
                  <w:w w:val="88"/>
                </w:rPr>
                <w:t>F-52</w:t>
              </w:r>
            </w:hyperlink>
          </w:p>
        </w:tc>
      </w:tr>
      <w:tr>
        <w:trPr>
          <w:trHeight w:val="20"/>
        </w:trPr>
        <w:tc>
          <w:tcPr>
            <w:tcW w:w="8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consolidated financial statements or notes thereto.</w:t>
      </w:r>
    </w:p>
    <w:p>
      <w:pPr>
        <w:spacing w:after="0" w:line="52" w:lineRule="exact"/>
        <w:rPr>
          <w:sz w:val="20"/>
          <w:szCs w:val="20"/>
          <w:color w:val="auto"/>
        </w:rPr>
      </w:pPr>
    </w:p>
    <w:p>
      <w:pPr>
        <w:ind w:left="42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(a)3.</w:t>
        <w:tab/>
        <w:t>Exhibits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w w:val="88"/>
              </w:rPr>
              <w:t>3.1</w:t>
            </w: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9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Amgen Inc. (As Restated March 6, 2013.) (Filed as an exhibit to Form 10-Q for the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March 31, 2013 on May 3,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3.2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Amgen Inc. (As Amended and Restated March 6, 2013). (Filed as an exhibit to Form 8-K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6,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3.3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Amended and Restated Bylaws of Amgen Inc. (As Amended and Restated March 6, 2013). (Filed as an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8-K on October 16,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certificate for the common stock, par value $.0001 of the Company. (Filed as an exhibit to Form 10-Q for the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March 31, 1997 on May 13, 1997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Indenture, dated January 1, 1992. (Filed as an exhibit to Form S-3 Registration Statement filed on December 19, 1991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February 15, 2008. (Filed as an exhibit to Form 10-K for the year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2007 on February 28, 2008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Supplemental Indenture, dated February 26, 1997. (Filed as an exhibit to Form 8-K on March 14, 1997 and incorporated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405"/>
        </w:trPr>
        <w:tc>
          <w:tcPr>
            <w:tcW w:w="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88"/>
              </w:rPr>
              <w:t>4.5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8-1/8% Debentures due April 1, 2097. (Filed as an exhibit to Form 8-K on April 8, 1997 and incorporated herein by reference.)</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9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 1992, as supplemented by the First Supplemental Indenture, dated February</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 1997, establishing a series of securities entitled “8 1/8% Debentures due April 1, 2097.” (Filed as an exhibit to Form 8-K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8, 1997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August 4, 2003. (Filed as an exhibit to Form S-3 Registration Statement on August 4, 2003 and incorporated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 - Master Note between and among Amgen Inc., as Issuer, Cede &amp; Co., as Nominee of The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Depository Trust Company, and Citibank, N.A., as Paying Agent. (Filed as an exhibit to Form 10-Q for the quarter ended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1998 on May 13, 1998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30, 2007, including forms of the Company's Senior Floating Rate Notes due 2008,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5.85% Senior Notes due 2017 and 6.375% Senior Notes due 2037. (Filed as an exhibit to Form 8-K on May 30, 2007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23, 2008, including forms of the Company's 6.15% Senior Notes due 2018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6.90% Senior Notes due 2038. (Filed as exhibit to Form 8-K on May 23, 2009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16, 2009, including forms of the Company's 5.70% Senior Notes due 2019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6.40% Senior Notes due 2039. (Filed as exhibit to Form 8-K on January 16, 2009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March 12, 2010, including forms of the Company's 4.50% Senior Notes due 2020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5.75% Senior Notes due 2040. (Filed as exhibit to Form 8-K on March 15, 2010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16, 2010, including forms of the Company's 3.45% Senior Notes due 2020</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4.95% Senior Notes due 2041. (Filed as an exhibit to Form 8-K on September 17, 2010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June 30, 2011, including forms of the Company's 2.30% Senior Notes due 2016, 4.10%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 and 5.65% Senior Notes due 2042. (Filed as an exhibit to Form 8-K on June 30, 2011 and incorporated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November 10, 2011, including forms of the Company's 1.875% Senior Notes due 2014,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 Senior Notes due 2016, 3.875% Senior Notes due 2021 and 5.15% Senior Notes due 2041. (Filed as an exhibit to Form 8-</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on November 10, 2011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December 5, 2011, including forms of the Company's 4.375% Senior Notes due 2018</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5.50% Senior Notes due 2026. (Filed as an exhibit to Form 8-K on December 5, 2011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15, 2012, including forms of the Company's 2.125% Senior Notes due 2017,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3.625% Senior Notes due 2022 and 5.375% Senior Notes due 2043. (Filed as an exhibit to Form 8-K on May 15, 2012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13, 2012, including forms of the Company's 2.125% Senior Notes due 2019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4.000% Senior Notes due 2029. (Filed as an exhibit to Form 8-K on September 13, 2012 and incorporated herein by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22, 2014, between Amgen Inc. and The Bank of New York Mellon Trust Company, N.A., as Trustee. (Filed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Form 8-K on May 22,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22, 2014, including forms of the Company's Senior Floating Rate Notes due 2017,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Floating Rate Notes due 2019, 1.250% Senior Notes due 2017, 2.200% Senior Notes due 2019 and 3.625% Senior Notes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2024. (Filed as an exhibit to Form 8-K on May 22,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Amended and Restated 2009 Equity Incentive Plan. (Filed as Appendix C to the Definitive Proxy Statement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14A on April 8,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for the Amgen Inc. Amended and Restated 2009 Equity Incentive Plan. (As Amended on March</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 2013.) (Filed as an exhibit to Form 10-Q for the quarter ended March 31, 2013 on May 3, 2013 and incorporated herein by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59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ectPr>
          <w:pgSz w:w="11900" w:h="16838" w:orient="portrait"/>
          <w:cols w:equalWidth="0" w:num="1">
            <w:col w:w="11380"/>
          </w:cols>
          <w:pgMar w:left="280" w:top="802"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9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Amended and Restated 2009 Equity Incentive Plan. (As Amended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December 17, 2014.)</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Performance Award Program. (As Amended on December 13, 2013.) (Filed as an exhibit to Form 10-K for the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2013 on February 24,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Performance Unit Agreement for the Amgen Inc. 2009 Performance Award Program. (As Amended on December 17,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Director Equity Incentive Program. (As Amended on March 6, 2013.) (Filed as an exhibit to Form 10-Q for the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March 31, 2013 on May 3,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Grant of Non-Qualified Stock Option Agreement for the Amgen Inc. 2009 Director Equity Incentive Program. (Filed as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8-K on May 8, 2009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2009 Director Equity Incentive Program. (As Amended on March 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(Filed as an exhibit to Form 10-Q for the quarter ended March 31, 2013 on May 3, 2013 and incorporated herein by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Supplemental Retirement Plan. (As Amended and Restated effective October 16, 2013.) (Filed as an exhibit to Form</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 for the year ended December 31, 2013 on February 24,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Amgen Change of Control Severance Plan. (As Amended and Restated effective December 9, 2010 and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subsequently amended effective March 2, 2011.) (Filed as an exhibit to Form 10-Q for the quarter ended March 31, 2011 on May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2011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Executive Incentive Plan. (As Amended and Restated effective January 1, 2009.) (Filed as an exhibit to Form 10-Q</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September 30, 2008 on November 7, 2008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Incentive Plan, effective December 13, 2012. (Filed as an exhibit to Form 10-K for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year ended December 31, 2012 on February 27,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Executive Nonqualified Retirement Plan. (As Amended and Restated effective January 1, 2009.) (Filed as an exhibit</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Form 10-Q for the quarter ended September 30, 2008 on November 7, 2008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Nonqualified Retirement Plan, effective July 21, 2010. (Filed as an exhibit to Form</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 for the quarter ended June 30, 2010 on August 9, 2010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Nonqualified Deferred Compensation Plan. (As Amended and Restated effective October 16, 2013.) (Filed as an exhibit</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Form 10-K for the year ended December 31, 2013 on February 24,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Mr. Anthony C. Hooper, dated October 12, 2011. (Filed as an exhibit to Form 10-K for the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2011 on February 29, 2012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General Release of Claims, entered into January 9, 2014, by and between Amgen Inc. and Jonathan M. Peacock.</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10-K for the year ended December 31, 2013 on February 24, 2014 and incorporated herein by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David W. Meline, effective July 21, 2014. (Filed as an exhibit to Form 10-Q for the quarter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September 30, 2014 on October 29,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Agreement, dated May 11, 1984, among Amgen, Kirin Brewery Company, Limited and Kirin-Amgen, Inc. (Filed as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10-K for the year ended December 31, 2000 on March 7, 2001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March 19, 1985, Amendment No. 2 dated July 29, 1985 (effective July 1, 1985), and Amendment No. 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December 19, 1985, to the Shareholders' Agreement dated May 11, 1984. (Filed as an exhibit to Form 10-Q for the quarter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2000 on August 1, 2000 and incorporated herein by reference.)</w:t>
            </w:r>
          </w:p>
        </w:tc>
        <w:tc>
          <w:tcPr>
            <w:tcW w:w="0" w:type="dxa"/>
            <w:vAlign w:val="bottom"/>
          </w:tcPr>
          <w:p>
            <w:pPr>
              <w:spacing w:after="0"/>
              <w:rPr>
                <w:sz w:val="1"/>
                <w:szCs w:val="1"/>
                <w:color w:val="auto"/>
              </w:rPr>
            </w:pPr>
          </w:p>
        </w:tc>
      </w:tr>
      <w:tr>
        <w:trPr>
          <w:trHeight w:val="729"/>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380"/>
          </w:cols>
          <w:pgMar w:left="280" w:top="802"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10.21</w:t>
            </w: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9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dated October 16, 1986 (effective July 1, 1986), Amendment No. 5 dated December 6, 1986 (effective July 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1986), Amendment No. 6 dated June 1, 1987, Amendment No. 7 dated July 17, 1987 (effective April 1, 1987), Amendment No. 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28, 1993 (effective November 13, 1990), Amendment No. 9 dated December 9, 1994 (effective June 14, 1994),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10 effective March 1, 1996, and Amendment No. 11 effective March 20, 2000 to the Shareholders' Agreement,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11, 1984. (Filed as exhibits to Form 10-K for the year ended December 31, 2000 on March 7, 2001 and incorporated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12 to the Shareholders' Agreement, dated January 31, 2001. (Filed as an exhibit to Form 10-Q for the quarter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2005 on August 8, 2005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13 to the Shareholders' Agreement, dated June 28, 2007 (portions of the exhibit have been omitted pursuant to a</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request for confidential treatment). (Filed as an exhibit to Form 10-Q for the quarter ended June 30, 2007 on August 9, 2007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14 to the Shareholders' Agreement, dated March 26, 2014. (Filed as an exhibit to Form 10-Q for the quarter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2014 on April 30, 2014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and License Agreement, dated October 16, 1986 (effective July 1, 1986), between Amgen and Kirin-Amgen, Inc.</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10-K for the year ended December 31, 2000 on March 7, 2001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United States License Agreement, dated June 1, 1987 (effective July 1, 1986), Amendment No. 1, dated October 20, 1988,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Amendment No. 2, dated October 17, 1991 (effective November 13, 1990), between Kirin-Amgen, Inc. and Amgen Inc.</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exhibits to Form 10-K for the year ended December 31, 2000 on March 7, 2001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European License Agreement, dated December 30, 1986, between Kirin-Amgen and Amgen, Amendment No. 1 to Kirin-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 Amgen G-CSF European License Agreement, dated June 1, 1987, Amendment No. 2 to Kirin-Amgen, Inc. / Amgen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European License Agreement, dated March 15, 1998, Amendment No. 3 to Kirin-Amgen, Inc. / Amgen G-CSF European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 dated October 20, 1988, and Amendment No. 4 to Kirin-Amgen, Inc. / Amgen G-CSF European License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December 29, 1989, between Kirin-Amgen, Inc. and Amgen Inc. (Filed as exhibits to Form 10-K for the year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2000 on March 7, 2001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Promotion Agreement, dated December 16, 2001, by and among Immunex Corporation, American Home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Corporation and Amgen Inc. (portions of the exhibit have been omitted pursuant to a request for confidential treatment).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Amendment No. 1 to Form S-4 Registration Statement on March 22, 2002 and incorporated herein by</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10.29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Amendment No. 1 to Amended and Restated Promotion Agreement, effective July 8, 2003, among Wyeth, Amgen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and Immunex Corporation (portions of the exhibit have been omitted pursuant to a request for confidential treatment). (Filed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Form 10-K for the year ended December 31, 2003 on March 11, 2004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10.30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Amendment No. 2 to Amended and Restated Promotion Agreement, effective April 20, 2004, by and among</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Wyeth, Amgen Inc. and Immunex Corporation. (Filed as an exhibit to Amendment No. 1 to Form S-4 Registration Statement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29, 2004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10.31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Amended and Restated Promotion Agreement, effective January 1, 2005, by and among Wyeth, Amgen Inc.</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Immunex Corporation (portions of the exhibit have been omitted pursuant to a request for confidential treatment). (Filed as an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10-Q for the quarter ended March 31, 2005 on May 4, 2005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10.32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July 30, 2014, among Amgen Inc., the Banks therein named, Citibank, N.A., as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JPMorgan Chase Bank, N.A., as syndication agent (Filed as an exhibit to Form 8-K on July 30, 2014</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3"/>
              </w:rPr>
              <w:t>10.33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Agreement between Amgen Inc. and Celltech R&amp;D Limited dated May 10, 2002 (portions of the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have been omitted pursuant to a request for confidential treatment) and Amendment No. 1, effective June 9, 2003, to</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Agreement between Amgen Inc. and Celltech R&amp;D Limited (portions of the exhibit have been omitted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request for confidential treatment). (Filed as an exhibit to Form 10-K/A for the year ended December 31, 2012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2013 and incorporated herein by reference.)</w:t>
            </w:r>
          </w:p>
        </w:tc>
        <w:tc>
          <w:tcPr>
            <w:tcW w:w="0" w:type="dxa"/>
            <w:vAlign w:val="bottom"/>
          </w:tcPr>
          <w:p>
            <w:pPr>
              <w:spacing w:after="0"/>
              <w:rPr>
                <w:sz w:val="1"/>
                <w:szCs w:val="1"/>
                <w:color w:val="auto"/>
              </w:rPr>
            </w:pPr>
          </w:p>
        </w:tc>
      </w:tr>
      <w:tr>
        <w:trPr>
          <w:trHeight w:val="729"/>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ectPr>
          <w:pgSz w:w="11900" w:h="16838" w:orient="portrait"/>
          <w:cols w:equalWidth="0" w:num="1">
            <w:col w:w="11380"/>
          </w:cols>
          <w:pgMar w:left="280" w:top="802"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10.34</w:t>
            </w: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9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Sourcing and Supply Agreement, dated November 15, 2011, by and between Amgen USA Inc, a wholly owned subsidiary of</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and DaVita Inc. (portions of the exhibit have been omitted pursuant to a request for confidential treatment). (Filed as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10-K for the year ended December 31, 2011 on February 29, 2012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Number 1 to Sourcing and Supply Agreement, effective January 1, 2013, by and between Amgen USA Inc., a wholly</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Amgen Inc., and DaVita Healthcare Partners Inc. f/k/a DaVita Inc. (portions of the exhibit have been omitted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request for confidential treatment). (Filed as an exhibit to Form 10-K for the year ended December 31, 2012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March 30, 2012 by and between Amgen Inc. and AstraZeneca Collaboration Ventures, LLC, a</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wholly owned subsidiary of AstraZeneca Pharmaceuticals LP (portions of the exhibit have been omitted pursuant to a request for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treatment). (Filed as an exhibit to Form 10-Q for the quarter ended March 31, 2012 on May 8, 2012 and incorporated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Collaboration Agreement, dated October 1, 2014, by and among Amgen Inc., AstraZeneca Collaboration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Ventures, LLC and AstraZeneca Pharmaceuticals LP (portions of the exhibit have been omitted pursuant to a request for</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treatment).</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April 22, 1994, by and between Bayer Corporation (formerly Miles, Inc.) and Onyx</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10-Q for the quarter ended March 31, 2011 by Onyx Pharmaceuticals, Inc.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2011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April 24, 1996, by and between Bayer Corporation and Onyx Pharmaceuticals,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(Filed as an exhibit to Form 10-Q for the quarter ended March 31, 2006 by Onyx Pharmaceuticals, Inc. on May 10, 2006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10.40</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February 1, 1999, by and between Bayer Corporation and Onyx Pharmaceuticals,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(Filed as an exhibit to Form 10-Q for the quarter ended March 31, 2006 by Onyx Pharmaceuticals, Inc. on May 10, 2006 and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Co-Promotion Agreement, dated March 6, 2006, by and between Bayer Pharmaceuticals Corporation and Onyx</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10-Q for the quarter ended March 31, 2006 by Onyx Pharmaceuticals, Inc.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2006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Agreement and Release, dated October 11, 2011, by and between Bayer Corporation, Bayer AG, Bayer HealthCare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and Bayer Pharma AG and Onyx Pharmaceuticals, Inc. (Filed as an exhibit to Form 10-K for the year ended December 31,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by Onyx Pharmaceuticals, Inc. on February 27, 2012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Collaboration Agreement, dated October 11, 2011, by and between Bayer Corporation and Onyx</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10-K for the year ended December 31, 2011 by Onyx Pharmaceuticals, Inc.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2012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August 24, 2013, among Amgen Inc., Bank of America, N.A., Merrill Lynch, Pierce, Fenner &amp; Smith</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JPMorgan Chase Bank, N.A., J.P. Morgan Securities LLC and Barclays Bank PLC. (Filed as an exhibit to Form 8-K</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August 26,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10.45</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August 24, 2013, between Amgen Inc. and Bank of America, N.A. (Filed as an exhibit 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on August 26,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10.46</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28, 2013, between Amgen Inc. and SMBC Repo Pass-Thru Trust, 2013-1. (Filed as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10-Q for the quarter ended September 30, 2013 on October 29,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10.47</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29, 2013, between Amgen Inc. and HSBC Bank USA, N.A. (Filed as an exhibit 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September 30, 2013 on October 29, 2013 and incorporated herein by reference.)</w:t>
            </w:r>
          </w:p>
        </w:tc>
        <w:tc>
          <w:tcPr>
            <w:tcW w:w="0" w:type="dxa"/>
            <w:vAlign w:val="bottom"/>
          </w:tcPr>
          <w:p>
            <w:pPr>
              <w:spacing w:after="0"/>
              <w:rPr>
                <w:sz w:val="1"/>
                <w:szCs w:val="1"/>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10.48</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 Credit Agreement, dated September 20, 2013, among Amgen Inc., the Banks therein named, Bank of</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 N.A., as Administrative Agent, and Barclays Bank PLC and JPMorgan Chase Bank, N.A., as Syndication Agents. (Filed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Form 8-K on September 20, 2013 and incorporated herein by reference.)</w:t>
            </w:r>
          </w:p>
        </w:tc>
        <w:tc>
          <w:tcPr>
            <w:tcW w:w="0" w:type="dxa"/>
            <w:vAlign w:val="bottom"/>
          </w:tcPr>
          <w:p>
            <w:pPr>
              <w:spacing w:after="0"/>
              <w:rPr>
                <w:sz w:val="1"/>
                <w:szCs w:val="1"/>
                <w:color w:val="auto"/>
              </w:rPr>
            </w:pPr>
          </w:p>
        </w:tc>
      </w:tr>
      <w:tr>
        <w:trPr>
          <w:trHeight w:val="40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729"/>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ectPr>
          <w:pgSz w:w="11900" w:h="16838" w:orient="portrait"/>
          <w:cols w:equalWidth="0" w:num="1">
            <w:col w:w="11380"/>
          </w:cols>
          <w:pgMar w:left="280" w:top="802" w:right="239" w:bottom="1440" w:gutter="0" w:footer="0" w:header="0"/>
        </w:sectPr>
      </w:pPr>
    </w:p>
    <w:bookmarkStart w:id="73" w:name="page74"/>
    <w:bookmarkEnd w:id="7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60" w:type="dxa"/>
            <w:vAlign w:val="bottom"/>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1"/>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23</w:t>
            </w:r>
          </w:p>
        </w:tc>
        <w:tc>
          <w:tcPr>
            <w:tcW w:w="70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the Independent Registered Public Accounting Firm. The consent is set forth on page 74 of this Annual Report on</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10-K.</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24</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The Power of Attorney is set forth on page 75 of this Annual Report on Form 10-K.</w:t>
            </w:r>
          </w:p>
        </w:tc>
        <w:tc>
          <w:tcPr>
            <w:tcW w:w="0" w:type="dxa"/>
            <w:vAlign w:val="bottom"/>
          </w:tcPr>
          <w:p>
            <w:pPr>
              <w:spacing w:after="0"/>
              <w:rPr>
                <w:sz w:val="1"/>
                <w:szCs w:val="1"/>
                <w:color w:val="auto"/>
              </w:rPr>
            </w:pPr>
          </w:p>
        </w:tc>
      </w:tr>
      <w:tr>
        <w:trPr>
          <w:trHeight w:val="40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13a-14(a) Certifications.</w:t>
            </w:r>
          </w:p>
        </w:tc>
        <w:tc>
          <w:tcPr>
            <w:tcW w:w="0" w:type="dxa"/>
            <w:vAlign w:val="bottom"/>
          </w:tcPr>
          <w:p>
            <w:pPr>
              <w:spacing w:after="0"/>
              <w:rPr>
                <w:sz w:val="1"/>
                <w:szCs w:val="1"/>
                <w:color w:val="auto"/>
              </w:rPr>
            </w:pPr>
          </w:p>
        </w:tc>
      </w:tr>
      <w:tr>
        <w:trPr>
          <w:trHeight w:val="40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0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802"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Annual Report to be signed on its behalf by the undersigned, thereunto duly authorized.</w:t>
      </w:r>
    </w:p>
    <w:p>
      <w:pPr>
        <w:spacing w:after="0" w:line="2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96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February 19,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David W. Meline</w:t>
      </w:r>
    </w:p>
    <w:p>
      <w:pPr>
        <w:spacing w:after="0" w:line="10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76"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44" w:lineRule="exact"/>
        <w:rPr>
          <w:sz w:val="20"/>
          <w:szCs w:val="20"/>
          <w:color w:val="auto"/>
        </w:rPr>
      </w:pPr>
    </w:p>
    <w:p>
      <w:pPr>
        <w:ind w:left="440" w:right="2560" w:firstLine="2128"/>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740" w:hanging="327"/>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333-159377) pertaining to the Amgen Inc. 2009 Equity Incentive Plan;</w:t>
      </w:r>
    </w:p>
    <w:p>
      <w:pPr>
        <w:spacing w:after="0" w:line="14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33-39183) pertaining to the Amended and Restated Employee Stock Purchase Plan;</w:t>
      </w:r>
    </w:p>
    <w:p>
      <w:pPr>
        <w:spacing w:after="0" w:line="144"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33-39104, as amended by Form S-8 No. 333-144581) pertaining to the Amended and Restated Amgen Retirement and Savings Plan (formerly known as the Amgen Retirement and Savings Plan);</w:t>
      </w:r>
    </w:p>
    <w:p>
      <w:pPr>
        <w:spacing w:after="0" w:line="80"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33-42072 and 333-144579) pertaining to the Amgen Inc. Amended and Restated 1991 Equity Incentive Plan;</w:t>
      </w:r>
    </w:p>
    <w:p>
      <w:pPr>
        <w:spacing w:after="0" w:line="80"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33-47605 and 333-144580) pertaining to the Retirement and Savings Plan for Amgen Manufacturing, Limited (formerly known as the Retirement and Savings Plan for Amgen Manufacturing, Inc.);</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333-81284 and 333-177868) pertaining to the Amgen Nonqualified Deferred Compensation Plan;</w:t>
      </w:r>
    </w:p>
    <w:p>
      <w:pPr>
        <w:spacing w:after="0" w:line="144"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333-92424 and Amendment No. 1 thereto) pertaining to the Amgen Inc. Amended and Restated 1999 Equity Incentive Plan (formerly known as the Immunex Corporation 1999 Stock Option Plan);</w:t>
      </w:r>
    </w:p>
    <w:p>
      <w:pPr>
        <w:spacing w:after="0" w:line="80"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333-132932 and 333-133002) pertaining to the Amgen Inc. Amended and Restated 1999 Incentive Stock Plan (formerly known as Abgenix, Inc. 1999 Nonstatutory Stock Option Plan, as amended and restated);</w:t>
      </w:r>
    </w:p>
    <w:p>
      <w:pPr>
        <w:spacing w:after="0" w:line="80"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333-138325) pertaining to the Amgen Inc. Amended and Restated Assumed Avidia Equity Incentive Plan (formerly known as the Avidia, Inc. Amended and Restated 2003 Equity Incentive Plan);</w:t>
      </w:r>
    </w:p>
    <w:p>
      <w:pPr>
        <w:spacing w:after="0" w:line="80" w:lineRule="exact"/>
        <w:rPr>
          <w:rFonts w:ascii="Times New Roman" w:cs="Times New Roman" w:eastAsia="Times New Roman" w:hAnsi="Times New Roman"/>
          <w:sz w:val="18"/>
          <w:szCs w:val="18"/>
          <w:color w:val="auto"/>
        </w:rPr>
      </w:pPr>
    </w:p>
    <w:p>
      <w:pPr>
        <w:jc w:val="both"/>
        <w:ind w:left="740" w:right="20" w:hanging="327"/>
        <w:spacing w:after="0" w:line="266"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333-194103) relating to debt securities, common stock, preferred stock, warrants to purchase debt securities, common stock, preferred stock or depositary shares, rights to purchase common stock or preferred stock, securities purchase contracts, securities purchase units and depositary shares of Amgen Inc. and in the related Prospectus; and</w:t>
      </w:r>
    </w:p>
    <w:p>
      <w:pPr>
        <w:spacing w:after="0" w:line="9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333-176240) pertaining to the Amgen Profit Sharing Plan for Employees in Ireland;</w:t>
      </w:r>
    </w:p>
    <w:p>
      <w:pPr>
        <w:spacing w:after="0" w:line="14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of our reports dated February 19, 2015, with respect to the consolidated financial statements and schedule of Amgen Inc. and the effectiveness of internal control over financial reporting of Amgen Inc. included in this Annual Report (Form 10-K) of Amgen Inc. for the year ended December 31, 2014.</w:t>
      </w:r>
    </w:p>
    <w:p>
      <w:pPr>
        <w:spacing w:after="0" w:line="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76"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constitutes and appoints David W. Meline, his or her attorney-in-fact,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that said attorney-in-fact, or his or her substitute or substitutes, may do or cause to be done by virtue hereof.</w:t>
      </w:r>
    </w:p>
    <w:p>
      <w:pPr>
        <w:spacing w:after="0" w:line="180"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8"/>
        </w:trPr>
        <w:tc>
          <w:tcPr>
            <w:tcW w:w="1440" w:type="dxa"/>
            <w:vAlign w:val="bottom"/>
            <w:tcBorders>
              <w:bottom w:val="single" w:sz="8" w:color="auto"/>
            </w:tcBorders>
            <w:gridSpan w:val="2"/>
          </w:tcPr>
          <w:p>
            <w:pPr>
              <w:spacing w:after="0"/>
              <w:rPr>
                <w:sz w:val="6"/>
                <w:szCs w:val="6"/>
                <w:color w:val="auto"/>
              </w:rPr>
            </w:pPr>
          </w:p>
        </w:tc>
        <w:tc>
          <w:tcPr>
            <w:tcW w:w="302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4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7"/>
              </w:rPr>
              <w:t>ROBERT A. BRADWAY</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126"/>
        </w:trPr>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4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President, and Director</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20" w:type="dxa"/>
            <w:vAlign w:val="bottom"/>
            <w:gridSpan w:val="2"/>
            <w:vMerge w:val="restart"/>
          </w:tcPr>
          <w:p>
            <w:pPr>
              <w:jc w:val="center"/>
              <w:ind w:right="1345"/>
              <w:spacing w:after="0"/>
              <w:rPr>
                <w:sz w:val="20"/>
                <w:szCs w:val="20"/>
                <w:color w:val="auto"/>
              </w:rPr>
            </w:pPr>
            <w:r>
              <w:rPr>
                <w:rFonts w:ascii="Times New Roman" w:cs="Times New Roman" w:eastAsia="Times New Roman" w:hAnsi="Times New Roman"/>
                <w:sz w:val="14"/>
                <w:szCs w:val="14"/>
                <w:b w:val="1"/>
                <w:bCs w:val="1"/>
                <w:color w:val="auto"/>
              </w:rPr>
              <w:t>Robert A. Bradway</w:t>
            </w:r>
          </w:p>
        </w:tc>
        <w:tc>
          <w:tcPr>
            <w:tcW w:w="120" w:type="dxa"/>
            <w:vAlign w:val="bottom"/>
            <w:vMerge w:val="continue"/>
          </w:tcPr>
          <w:p>
            <w:pPr>
              <w:spacing w:after="0"/>
              <w:rPr>
                <w:sz w:val="6"/>
                <w:szCs w:val="6"/>
                <w:color w:val="auto"/>
              </w:rPr>
            </w:pPr>
          </w:p>
        </w:tc>
        <w:tc>
          <w:tcPr>
            <w:tcW w:w="4780" w:type="dxa"/>
            <w:vAlign w:val="bottom"/>
            <w:gridSpan w:val="2"/>
            <w:vMerge w:val="continue"/>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80" w:type="dxa"/>
            <w:vAlign w:val="bottom"/>
            <w:gridSpan w:val="2"/>
            <w:vMerge w:val="continue"/>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Pr>
          <w:p>
            <w:pPr>
              <w:jc w:val="center"/>
              <w:ind w:right="1205"/>
              <w:spacing w:after="0"/>
              <w:rPr>
                <w:sz w:val="20"/>
                <w:szCs w:val="20"/>
                <w:color w:val="auto"/>
              </w:rPr>
            </w:pPr>
            <w:r>
              <w:rPr>
                <w:rFonts w:ascii="Times New Roman" w:cs="Times New Roman" w:eastAsia="Times New Roman" w:hAnsi="Times New Roman"/>
                <w:sz w:val="18"/>
                <w:szCs w:val="18"/>
                <w:color w:val="auto"/>
                <w:w w:val="97"/>
              </w:rPr>
              <w:t>DAVID W. MELINE</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126"/>
        </w:trPr>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4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0" w:type="dxa"/>
            <w:vAlign w:val="bottom"/>
            <w:vMerge w:val="restart"/>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David W. Meline</w:t>
            </w:r>
          </w:p>
        </w:tc>
        <w:tc>
          <w:tcPr>
            <w:tcW w:w="120" w:type="dxa"/>
            <w:vAlign w:val="bottom"/>
            <w:vMerge w:val="continue"/>
          </w:tcPr>
          <w:p>
            <w:pPr>
              <w:spacing w:after="0"/>
              <w:rPr>
                <w:sz w:val="6"/>
                <w:szCs w:val="6"/>
                <w:color w:val="auto"/>
              </w:rPr>
            </w:pPr>
          </w:p>
        </w:tc>
        <w:tc>
          <w:tcPr>
            <w:tcW w:w="4780" w:type="dxa"/>
            <w:vAlign w:val="bottom"/>
            <w:gridSpan w:val="2"/>
            <w:vMerge w:val="continue"/>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780" w:type="dxa"/>
            <w:vAlign w:val="bottom"/>
            <w:gridSpan w:val="2"/>
            <w:vMerge w:val="continue"/>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w:t>
            </w:r>
          </w:p>
        </w:tc>
        <w:tc>
          <w:tcPr>
            <w:tcW w:w="3020" w:type="dxa"/>
            <w:vAlign w:val="bottom"/>
            <w:gridSpan w:val="2"/>
          </w:tcPr>
          <w:p>
            <w:pPr>
              <w:jc w:val="center"/>
              <w:ind w:right="985"/>
              <w:spacing w:after="0"/>
              <w:rPr>
                <w:sz w:val="20"/>
                <w:szCs w:val="20"/>
                <w:color w:val="auto"/>
              </w:rPr>
            </w:pPr>
            <w:r>
              <w:rPr>
                <w:rFonts w:ascii="Times New Roman" w:cs="Times New Roman" w:eastAsia="Times New Roman" w:hAnsi="Times New Roman"/>
                <w:sz w:val="18"/>
                <w:szCs w:val="18"/>
                <w:color w:val="auto"/>
                <w:w w:val="97"/>
              </w:rPr>
              <w:t>DAVID BALTIMORE</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85"/>
              <w:spacing w:after="0"/>
              <w:rPr>
                <w:sz w:val="20"/>
                <w:szCs w:val="20"/>
                <w:color w:val="auto"/>
              </w:rPr>
            </w:pPr>
            <w:r>
              <w:rPr>
                <w:rFonts w:ascii="Times New Roman" w:cs="Times New Roman" w:eastAsia="Times New Roman" w:hAnsi="Times New Roman"/>
                <w:sz w:val="14"/>
                <w:szCs w:val="14"/>
                <w:b w:val="1"/>
                <w:bCs w:val="1"/>
                <w:color w:val="auto"/>
              </w:rPr>
              <w:t>David Baltimore</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rPr>
              <w:t>FRANK J. BIONDI, JR.</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right="1345"/>
              <w:spacing w:after="0"/>
              <w:rPr>
                <w:sz w:val="20"/>
                <w:szCs w:val="20"/>
                <w:color w:val="auto"/>
              </w:rPr>
            </w:pPr>
            <w:r>
              <w:rPr>
                <w:rFonts w:ascii="Times New Roman" w:cs="Times New Roman" w:eastAsia="Times New Roman" w:hAnsi="Times New Roman"/>
                <w:sz w:val="14"/>
                <w:szCs w:val="14"/>
                <w:b w:val="1"/>
                <w:bCs w:val="1"/>
                <w:color w:val="auto"/>
              </w:rPr>
              <w:t>Frank J. Biondi, Jr.</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w:t>
            </w:r>
          </w:p>
        </w:tc>
        <w:tc>
          <w:tcPr>
            <w:tcW w:w="3300" w:type="dxa"/>
            <w:vAlign w:val="bottom"/>
            <w:gridSpan w:val="3"/>
          </w:tcPr>
          <w:p>
            <w:pPr>
              <w:jc w:val="center"/>
              <w:ind w:right="705"/>
              <w:spacing w:after="0"/>
              <w:rPr>
                <w:sz w:val="20"/>
                <w:szCs w:val="20"/>
                <w:color w:val="auto"/>
              </w:rPr>
            </w:pPr>
            <w:r>
              <w:rPr>
                <w:rFonts w:ascii="Times New Roman" w:cs="Times New Roman" w:eastAsia="Times New Roman" w:hAnsi="Times New Roman"/>
                <w:sz w:val="18"/>
                <w:szCs w:val="18"/>
                <w:color w:val="auto"/>
                <w:w w:val="99"/>
              </w:rPr>
              <w:t>FRANÇOIS DE CARBONNEL</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right="1345"/>
              <w:spacing w:after="0"/>
              <w:rPr>
                <w:sz w:val="20"/>
                <w:szCs w:val="20"/>
                <w:color w:val="auto"/>
              </w:rPr>
            </w:pPr>
            <w:r>
              <w:rPr>
                <w:rFonts w:ascii="Times New Roman" w:cs="Times New Roman" w:eastAsia="Times New Roman" w:hAnsi="Times New Roman"/>
                <w:sz w:val="14"/>
                <w:szCs w:val="14"/>
                <w:b w:val="1"/>
                <w:bCs w:val="1"/>
                <w:color w:val="auto"/>
              </w:rPr>
              <w:t>François de Carbonnel</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9"/>
              </w:rPr>
              <w:t>VANCE D. COFFMAN</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Vance D. Coffman</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9"/>
              </w:rPr>
              <w:t>ROBERT A. ECKERT</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85"/>
              <w:spacing w:after="0"/>
              <w:rPr>
                <w:sz w:val="20"/>
                <w:szCs w:val="20"/>
                <w:color w:val="auto"/>
              </w:rPr>
            </w:pPr>
            <w:r>
              <w:rPr>
                <w:rFonts w:ascii="Times New Roman" w:cs="Times New Roman" w:eastAsia="Times New Roman" w:hAnsi="Times New Roman"/>
                <w:sz w:val="14"/>
                <w:szCs w:val="14"/>
                <w:b w:val="1"/>
                <w:bCs w:val="1"/>
                <w:color w:val="auto"/>
              </w:rPr>
              <w:t>Robert A. Eckert</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9"/>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9"/>
              </w:rPr>
              <w:t>GREG C. GARLAND</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Greg C. Garland</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/S/</w:t>
            </w:r>
          </w:p>
        </w:tc>
        <w:tc>
          <w:tcPr>
            <w:tcW w:w="3300" w:type="dxa"/>
            <w:vAlign w:val="bottom"/>
            <w:gridSpan w:val="3"/>
          </w:tcPr>
          <w:p>
            <w:pPr>
              <w:jc w:val="center"/>
              <w:ind w:right="685"/>
              <w:spacing w:after="0"/>
              <w:rPr>
                <w:sz w:val="20"/>
                <w:szCs w:val="20"/>
                <w:color w:val="auto"/>
              </w:rPr>
            </w:pPr>
            <w:r>
              <w:rPr>
                <w:rFonts w:ascii="Times New Roman" w:cs="Times New Roman" w:eastAsia="Times New Roman" w:hAnsi="Times New Roman"/>
                <w:sz w:val="18"/>
                <w:szCs w:val="18"/>
                <w:color w:val="auto"/>
              </w:rPr>
              <w:t>REBECCA M. HENDERSON</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right="1365"/>
              <w:spacing w:after="0"/>
              <w:rPr>
                <w:sz w:val="20"/>
                <w:szCs w:val="20"/>
                <w:color w:val="auto"/>
              </w:rPr>
            </w:pPr>
            <w:r>
              <w:rPr>
                <w:rFonts w:ascii="Times New Roman" w:cs="Times New Roman" w:eastAsia="Times New Roman" w:hAnsi="Times New Roman"/>
                <w:sz w:val="14"/>
                <w:szCs w:val="14"/>
                <w:b w:val="1"/>
                <w:bCs w:val="1"/>
                <w:color w:val="auto"/>
              </w:rPr>
              <w:t>Rebecca M. Henderson</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rPr>
              <w:t>FRANK C. HERRINGER</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right="1365"/>
              <w:spacing w:after="0"/>
              <w:rPr>
                <w:sz w:val="20"/>
                <w:szCs w:val="20"/>
                <w:color w:val="auto"/>
              </w:rPr>
            </w:pPr>
            <w:r>
              <w:rPr>
                <w:rFonts w:ascii="Times New Roman" w:cs="Times New Roman" w:eastAsia="Times New Roman" w:hAnsi="Times New Roman"/>
                <w:sz w:val="14"/>
                <w:szCs w:val="14"/>
                <w:b w:val="1"/>
                <w:bCs w:val="1"/>
                <w:color w:val="auto"/>
              </w:rPr>
              <w:t>Frank C. Herringer</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9"/>
              </w:rPr>
              <w:t>/S/</w:t>
            </w:r>
          </w:p>
        </w:tc>
        <w:tc>
          <w:tcPr>
            <w:tcW w:w="2800" w:type="dxa"/>
            <w:vAlign w:val="bottom"/>
          </w:tcPr>
          <w:p>
            <w:pPr>
              <w:jc w:val="center"/>
              <w:ind w:right="1185"/>
              <w:spacing w:after="0"/>
              <w:rPr>
                <w:sz w:val="20"/>
                <w:szCs w:val="20"/>
                <w:color w:val="auto"/>
              </w:rPr>
            </w:pPr>
            <w:r>
              <w:rPr>
                <w:rFonts w:ascii="Times New Roman" w:cs="Times New Roman" w:eastAsia="Times New Roman" w:hAnsi="Times New Roman"/>
                <w:sz w:val="18"/>
                <w:szCs w:val="18"/>
                <w:color w:val="auto"/>
              </w:rPr>
              <w:t>TYLER JACKS</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85"/>
              <w:spacing w:after="0"/>
              <w:rPr>
                <w:sz w:val="20"/>
                <w:szCs w:val="20"/>
                <w:color w:val="auto"/>
              </w:rPr>
            </w:pPr>
            <w:r>
              <w:rPr>
                <w:rFonts w:ascii="Times New Roman" w:cs="Times New Roman" w:eastAsia="Times New Roman" w:hAnsi="Times New Roman"/>
                <w:sz w:val="14"/>
                <w:szCs w:val="14"/>
                <w:b w:val="1"/>
                <w:bCs w:val="1"/>
                <w:color w:val="auto"/>
              </w:rPr>
              <w:t>Tyler Jacks</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9"/>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9"/>
              </w:rPr>
              <w:t>JUDITH C. PELHAM</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Judith C. Pelham</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1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9"/>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w w:val="99"/>
              </w:rPr>
              <w:t>RONALD D. SUGAR</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tcPr>
          <w:p>
            <w:pPr>
              <w:jc w:val="center"/>
              <w:ind w:right="1565"/>
              <w:spacing w:after="0"/>
              <w:rPr>
                <w:sz w:val="20"/>
                <w:szCs w:val="20"/>
                <w:color w:val="auto"/>
              </w:rPr>
            </w:pPr>
            <w:r>
              <w:rPr>
                <w:rFonts w:ascii="Times New Roman" w:cs="Times New Roman" w:eastAsia="Times New Roman" w:hAnsi="Times New Roman"/>
                <w:sz w:val="14"/>
                <w:szCs w:val="14"/>
                <w:b w:val="1"/>
                <w:bCs w:val="1"/>
                <w:color w:val="auto"/>
              </w:rPr>
              <w:t>Ronald D. Sugar</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gridSpan w:val="2"/>
          </w:tcPr>
          <w:p>
            <w:pPr>
              <w:jc w:val="center"/>
              <w:ind w:right="965"/>
              <w:spacing w:after="0"/>
              <w:rPr>
                <w:sz w:val="20"/>
                <w:szCs w:val="20"/>
                <w:color w:val="auto"/>
              </w:rPr>
            </w:pPr>
            <w:r>
              <w:rPr>
                <w:rFonts w:ascii="Times New Roman" w:cs="Times New Roman" w:eastAsia="Times New Roman" w:hAnsi="Times New Roman"/>
                <w:sz w:val="18"/>
                <w:szCs w:val="18"/>
                <w:color w:val="auto"/>
              </w:rPr>
              <w:t>R. SANDERS WILLIAMS</w:t>
            </w:r>
          </w:p>
        </w:tc>
        <w:tc>
          <w:tcPr>
            <w:tcW w:w="120" w:type="dxa"/>
            <w:vAlign w:val="bottom"/>
          </w:tcPr>
          <w:p>
            <w:pPr>
              <w:spacing w:after="0"/>
              <w:rPr>
                <w:sz w:val="24"/>
                <w:szCs w:val="24"/>
                <w:color w:val="auto"/>
              </w:rPr>
            </w:pPr>
          </w:p>
        </w:tc>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2/19/2015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2"/>
          </w:tcPr>
          <w:p>
            <w:pPr>
              <w:jc w:val="center"/>
              <w:ind w:right="1365"/>
              <w:spacing w:after="0"/>
              <w:rPr>
                <w:sz w:val="20"/>
                <w:szCs w:val="20"/>
                <w:color w:val="auto"/>
              </w:rPr>
            </w:pPr>
            <w:r>
              <w:rPr>
                <w:rFonts w:ascii="Times New Roman" w:cs="Times New Roman" w:eastAsia="Times New Roman" w:hAnsi="Times New Roman"/>
                <w:sz w:val="14"/>
                <w:szCs w:val="14"/>
                <w:b w:val="1"/>
                <w:bCs w:val="1"/>
                <w:color w:val="auto"/>
              </w:rPr>
              <w:t>R. Sanders Williams</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0" w:type="dxa"/>
            <w:vAlign w:val="bottom"/>
            <w:gridSpan w:val="2"/>
          </w:tcPr>
          <w:p>
            <w:pPr>
              <w:jc w:val="right"/>
              <w:ind w:right="337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7" w:name="page78"/>
    <w:bookmarkEnd w:id="77"/>
    <w:p>
      <w:pPr>
        <w:ind w:right="3460" w:firstLine="3453"/>
        <w:spacing w:after="0" w:line="409"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The Board of Directors and Stockholders of Amgen Inc.</w:t>
      </w:r>
    </w:p>
    <w:p>
      <w:pPr>
        <w:spacing w:after="0" w:line="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Amgen Inc. (the “Company”) as of December 31, 2014 and 2013, and the related Consolidated Statements of Income, Comprehensive Income, Stockholders’ Equity and Cash Flows for each of the three years in the period ended December 31, 2014. Our audits also included the financial statement schedule listed in the Index at Item 15(a) 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Amgen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Amgen Inc.’s internal control over financial reporting as of December 31, 2014, based on criteria established in Internal Control — Integrated Framework issued by the Committee of Sponsoring Organizations of the Treadway Commission (2013 framework) and our report dated February 19, 2015 expressed an unqualified opinion thereon.</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576"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2014, 2013 and 2012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16,639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17,265</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3,199</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3,380</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11,688</w:t>
            </w:r>
          </w:p>
        </w:tc>
      </w:tr>
      <w:tr>
        <w:trPr>
          <w:trHeight w:val="318"/>
        </w:trPr>
        <w:tc>
          <w:tcPr>
            <w:tcW w:w="64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5,577</w:t>
            </w:r>
          </w:p>
        </w:tc>
      </w:tr>
      <w:tr>
        <w:trPr>
          <w:trHeight w:val="324"/>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4,345</w:t>
            </w: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the calculation of earnings per share:</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787</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576"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2014, 2013 and 2012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reclassification adjustments and taxes: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portion of cash flow hedges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gains (losses) on available-for-sale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4,320</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576"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 and 2013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5"/>
        </w:trPr>
        <w:tc>
          <w:tcPr>
            <w:tcW w:w="778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3,805</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15,596</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2,697</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3,019</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34,713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27,367</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5,349</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14,968</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1,767</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66,125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4,655</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2,505</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7,947</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29,623</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2,961</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and additional paid-in capital; $0.0001 par value; 2,750.0 shares authorized; outstanding</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760.4 shares in 2014 and 754.6 shares in 2013</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29,891</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25,778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22,096</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66,125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576" w:right="239" w:bottom="1440" w:gutter="0" w:footer="0" w:header="0"/>
        </w:sectPr>
      </w:pPr>
    </w:p>
    <w:bookmarkStart w:id="81" w:name="page82"/>
    <w:bookmarkEnd w:id="8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December 31, 2014, 2013 and 2012</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19,029</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Company’s equity award programs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impact related to employee stock-based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19,060</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Company’s equity award programs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conversion value of convertible debt in</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of principal</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convertible note hedge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warrants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5"/>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related to employee stock-based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29,891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22,096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5,158</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5"/>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equity award programs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5"/>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related to employee stock-based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30,410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25,778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20"/>
          </w:cols>
          <w:pgMar w:left="240" w:top="576"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2014, 2013 and 2012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items,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Legal reserve</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5,882</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17,372</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restricted investments, net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debt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5"/>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 in connection with the Company's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award programs</w:t>
            </w:r>
          </w:p>
        </w:tc>
        <w:tc>
          <w:tcPr>
            <w:tcW w:w="40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6,946</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420"/>
          </w:cols>
          <w:pgMar w:left="240" w:top="576"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576" w:right="2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(GAAP) requires management to make estimates and assumptions that affect the amounts reported in the consolidated financial statements and accompanying notes. Actual results may differ from those estimates.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Sales of our products are recognized when shipped and title and risk of loss have passed. Product sales are recorded net of accruals for estimated rebates, wholesaler chargebacks, discounts and other deductions (collectively “sales deductions”) and returns. Taxes collected from customers and remitted to government authorities related to the sales of the Company’s products, primarily in Europe, are excluded from revenues.</w:t>
      </w:r>
    </w:p>
    <w:p>
      <w:pPr>
        <w:spacing w:after="0" w:line="95"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 xml:space="preserve">We recognized revenue from the sale of product to the U.S. federal government for stockpile in accordance with U.S. Securities and Exchange Commission (SEC) Interpretation, </w:t>
      </w:r>
      <w:r>
        <w:rPr>
          <w:rFonts w:ascii="Times New Roman" w:cs="Times New Roman" w:eastAsia="Times New Roman" w:hAnsi="Times New Roman"/>
          <w:sz w:val="18"/>
          <w:szCs w:val="18"/>
          <w:i w:val="1"/>
          <w:iCs w:val="1"/>
          <w:color w:val="auto"/>
        </w:rPr>
        <w:t>Commission Guidance Regarding Accounting for Sales of Vaccines and Bioterror Countermeasures to the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for Placement into the Pediatric Vaccine Stockpile or the Strategic National Stockpile </w:t>
      </w:r>
      <w:r>
        <w:rPr>
          <w:rFonts w:ascii="Times New Roman" w:cs="Times New Roman" w:eastAsia="Times New Roman" w:hAnsi="Times New Roman"/>
          <w:sz w:val="18"/>
          <w:szCs w:val="18"/>
          <w:color w:val="auto"/>
        </w:rPr>
        <w:t>(SNS). We recognized $155 million of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during the year ended December 31, 2013, for purchases by the federal government for the SNS. There were no purchases by the federal government for the SNS during the years ended December 31, 2014 and 2012. We are contracted to manage this inventory of product until the federal government requests shipment.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8"/>
          <w:szCs w:val="18"/>
          <w:color w:val="auto"/>
        </w:rPr>
        <w:t>Other revenues consist primarily of royalty income and corporate partner revenues. Royalties from licensees are based on third-party sales of licensed products and are recorded in accordance with contract terms when third-party results are reliably measurable and collectability is reasonably assured. Royalty estimates are made in advance of amounts collected using historical and forecasted trends. Corporate partner revenues are comprised mainly of amounts earned from Kirin-Amgen, Inc. (K-A) and other third parties for certain research and development (R&amp;D) services, which are recognized as the R&amp;D services are performed, as well as our share of the U.S. pre-tax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commercial profits generated from our collaboration with Bayer HealthCare Pharmaceuticals, Inc. (Bayer). Corporate partner revenues also include license fees and milestone payments earned from K-A and from other third parties. See Multiple-deliverable revenue arrangements, discussed below, Note 7, Collaborative arrangements, and Note 8, Related party transactions.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Multiple-deliverable revenue arrangements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arrangements for the R&amp;D, manufacture and/or commercialization of products and product candidates. These arrangements may require us to deliver various rights, services and/or goods across the entire life cycle of a product or product candidate, including</w:t>
      </w:r>
    </w:p>
    <w:p>
      <w:pPr>
        <w:jc w:val="both"/>
        <w:ind w:firstLine="8"/>
        <w:spacing w:after="0" w:line="255" w:lineRule="auto"/>
        <w:tabs>
          <w:tab w:leader="none" w:pos="2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rights/licenses, (ii) R&amp;D services, (iii) manufacturing services and/or (iv) commercialization services. The underlying terms of these arrangements generally provide for consideration to Amgen in the form of non-refundable upfront license payments, R&amp;D and commercial performance milestone payments, cost sharing and/or royalty payments.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576" w:right="239" w:bottom="1440" w:gutter="0" w:footer="0" w:header="0"/>
        </w:sectPr>
      </w:pPr>
    </w:p>
    <w:bookmarkStart w:id="84" w:name="page85"/>
    <w:bookmarkEnd w:id="84"/>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arrangements involving the delivery of more than one element, each required deliverable is evaluated to determine whether it qualifies as a separate unit of accounting. For Amgen,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w:t>
      </w:r>
    </w:p>
    <w:p>
      <w:pPr>
        <w:spacing w:after="0" w:line="3" w:lineRule="exact"/>
        <w:rPr>
          <w:sz w:val="20"/>
          <w:szCs w:val="20"/>
          <w:color w:val="auto"/>
        </w:rPr>
      </w:pPr>
    </w:p>
    <w:p>
      <w:pPr>
        <w:jc w:val="both"/>
        <w:ind w:firstLine="8"/>
        <w:spacing w:after="0" w:line="254" w:lineRule="auto"/>
        <w:tabs>
          <w:tab w:leader="none" w:pos="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 Consideration associated with at-risk substantive performance milestones is recognized as revenue upon the achievement of the related milestone, as defined in the respective contracts.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R&amp;D costs are expensed as incurred and include primarily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such as with K-A, including upfront fees and milestones paid to third parties in connection with technologies which had not reached technological feasibility and did not have an alternative future use. Net payment or reimbursement of R&amp;D costs is recognized when the obligations are incurred or as we become entitled to the cost recovery. See Note 7, Collaborative arrangements, and Note 8, Related party transactions.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costs are comprised primarily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SG&amp;A expenses also include costs and cost recoveries associated with marketing and promotion efforts under certain collaboration arrangements. Net payment or reimbursement of SG&amp;A costs is recognized when the obligations are incurred or we become entitled to the cost recovery. See Note 7, Collaborative arrangements.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stock-based compensation plans under which various types of equity-based awards are granted, including restricted stock units (RSUs), performance units and stock options. The estimated fair values of RSUs and stock option awards which are subject only to service conditions with graded vesting are generally recognized as compensation expense on a straight-line basis over the service period. The estimated fair values of performance unit awards are generally recognized as compensation expense as the awards vest ratably from the grant date to the end of the performance period. See Note 4, Stock-based compensation.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provide for income taxes based on pretax income and applicable tax rates available in the various jurisdictions in which we operate. Deferred income taxes are recorded for the expected tax consequences of temporary differences between the bases of assets and liabilities for financial reporting purposes and amounts recognized for income tax purposes. We record a valuation allowance to reduce our deferred tax assets to the amount of future tax benefit that is more likely than not to be realized.</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upon examination by the taxing authorities based on the technical merits of the position. The tax benefit recognized in the financial statements for a particular tax position is based on the largest benefit that is more likely than not to be realized. The amount of unrecognized tax benefits (UTBs) is adjusted as appropriate for changes in facts and circumstances, such as significant amendments to existing tax law, new regulations or interpretations by the taxing authorities, new information obtained during a tax examination, or resolution of an examination. We recognize both accrued interest and penalties, where appropriate, related to UTBs in income tax expense. See Note 5, Income taxes.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Under the acquisition method, assets acquired, including in-process research and development (IPR&amp;D) projects,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580" w:right="2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with a business combination (including the assumption of an acquiree's liability arising from a business combination it consummated prior to our acquisition) are recorded at their fair values on the acquisition date and remeasured at their fair values each subsequent reporting period until the related contingencies are resolved. The resulting changes in fair values are recorded in earnings. See Note 3, Business combinations, and Note 16, Fair value measurement.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4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consider cash equivalents to be only those investments which are highly liquid, readily convertible to cash and which mature within three months from the date of purchase.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consider our investment portfolio available-for-sale and, accordingly, these investments are recorded at fair value with unrealized gains and losses generally recorded in other comprehensive income. Investments with maturities beyond one year, other than Restricted investments, may be classified as short-term marketable securities in the Consolidated Balance Sheets due to their highly liquid nature and because they represent the Company's investments that are available for current operations. See Note 9, Available-for-sale investments, and Note 16, Fair value measurement.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4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market. Cost, which includes amounts related to materials, labor and overhead, is determined in a manner that approximates the first-in, first-out method. See Note 10, Inventories.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recognize all of our derivative instruments as either assets or liabilities at fair value in the Consolidated Balance Sheets. The accounting for changes in the fair value of a derivative instrument depends upon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16, Fair value measurement, and Note 17, Derivative instruments.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provided over the assets’ useful lives on a straight-line basis. Leasehold improvements are amortized on a straight-line basis over the shorter of their estimated useful lives or lease terms. See Note 11, Property, plant and equipment.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recorded at cost, net of accumulated amortization and, if applicable, impairment charges. Amortization of finite-lived intangible assets is provided over their estimated useful lives on a straight-line basis or the pattern in which economic benefits are consumed, if reliably determinable. We review our finite-lived intangible assets for impairment whenever events or changes in circumstances indicate that the carrying amount of an asset may not be recoverable. See Note 12, Goodwill and other intangible assets.</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estimated fair values of IPR&amp;D projects acquired in a business combination which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written-off immediately. There are often major risks and uncertainties associated with IPR&amp;D projects as we are required to obtain regulatory approvals in order to be able to market the resulting products. Such approvals require completing clinical trials that demonstrate a product candidate is safe and effective. Consequently, the eventual realized value of the acquired IPR&amp;D project may vary from its estimated fair value at the date of acquisition, and IPR&amp;D impairment charges may occur in future periods.</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580" w:right="2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approval, the inability to bring a product to market and the introduction or advancement of competitors' products could result in the related intangible assets to be partially or fully impaired.</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perform an impairment test of goodwill annually and whenever events or changes in circumstances indicate that the carrying amount may not be recoverable. To date, an impairment of goodwill has not been recorded. See Note 12, Goodwill and other intangible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investments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2013, we had restricted investments on our Consolidated Balance Sheet that were owned by ATL Holdings Limited (ATL Holdings), a wholly-owned subsidiary. ATL Holdings was an entity distinct from the Company and its other subsidiaries, with separate assets and liabilities. Because certain third parties owned Class A preferred shares of ATL Holdings, this entity was required to hold restricted investments, which were composed of interest-bearing securities, cash and related interest receivable as of December 31, 2013. On May 22, 2014, the Company repurchased all of the outstanding Class A preferred shares, and therefore, there were no remaining restricted investments on our Consolidated Balance Sheet as of December 31, 2014. See Note 14, Financing arrangements.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and other matters such as intellectual property disputes, contractual disputes, governmental investigations and class action suits which are complex in nature and have outcomes that are difficult to predict. Certain of these proceedings are discussed in Note 18, Contingencies and commitments. We record accruals for loss contingencies to the extent that we conclude that it is probable that a liability has been incurred and the amount of the related loss can be reasonably estimated. We consider all relevant factors when making assessments regarding these contingencies.</w:t>
      </w:r>
    </w:p>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net assets of international subsidiaries where the local currencies have been determined to be the functional currencies are translated into U.S. dollars using current exchange rates. The U.S. dollar effects that arise from translating net assets of these subsidiaries at changing rates are recognized in other comprehensive income. The earnings of these subsidiaries are translated into U.S. dollars using average exchange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May 2014, a new accounting standard was issued that amends the guidance for the recognition of revenue from contracts with customers to transfer goods and services. This new standard will be effective for interim and annual periods beginning January 1, 2017, is required to be adopted retrospectively and early adoption is not permitted. We are currently evaluating the provisions of this new standard and have not yet determined what impact it will have on our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 and other cost savings initiatives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second half of 2014, we initiated a restructuring plan to invest in continuing innovation and the launch of our new pipeline molecules, while improving our cost structure. As part of the plan, we stated that we would reduce our staff by 3,500 to 4,000 by the end of 2015 and close our facilities in Washington state and Colorado and reduce the number of buildings at our headquarters in Thousand Oaks, California.</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currently estimate that $935 million to $1,035 million of pre-tax restructuring charges will be incurred in connection with the implementation of our restructuring plan. Included in these amounts are: (i) separation costs of $535 million to $585 million with respect to the staff reductions, and (ii) asset related charges of $400 million to $450 million consisting primarily of asset impairments, accelerated depreciation and other related costs resulting from the consolidation of our worldwide facilities.</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2014, we initiated the above-noted actions and incurred $558 million of restructuring costs. We expect that substantially all remaining restructuring actions and related estimated costs, as discussed above, will be incurred during 2015.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580" w:right="239" w:bottom="1440" w:gutter="0" w:footer="0" w:header="0"/>
        </w:sectPr>
      </w:pPr>
    </w:p>
    <w:bookmarkStart w:id="87" w:name="page88"/>
    <w:bookmarkEnd w:id="87"/>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charges recorded related to the restructuring plan by type of activity and the locations recognized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(in millions):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During the year ended December 31, 2014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100" w:type="dxa"/>
            <w:vAlign w:val="bottom"/>
            <w:vMerge w:val="restart"/>
          </w:tcPr>
          <w:p>
            <w:pPr>
              <w:spacing w:after="0"/>
              <w:rPr>
                <w:sz w:val="12"/>
                <w:szCs w:val="12"/>
                <w:color w:val="auto"/>
              </w:rPr>
            </w:pPr>
          </w:p>
        </w:tc>
        <w:tc>
          <w:tcPr>
            <w:tcW w:w="116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Accelerated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Asset impairment and accelerated depreciation charges were recognized in connection with our decision to exit Boulder and Longmont, Colorado and Bothell and Seattle, Washington, as well as the consolidation of facilities in Thousand Oaks, California. The decision to accelerate the closure of these manufacturing and R&amp;D facilities was based principally on optimizing the utilization of our sites in the United States, which includes an expansion of our presence in the key U.S. biotechnology hubs of South San Francisco, California, and Cambridge, Massachusetts.</w:t>
      </w:r>
    </w:p>
    <w:p>
      <w:pPr>
        <w:spacing w:after="0" w:line="9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expenses (excluding non-cash charges) and payments regarding liabilities related to the restructuring plan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During the year ended December 31, 2014</w:t>
            </w:r>
          </w:p>
        </w:tc>
        <w:tc>
          <w:tcPr>
            <w:tcW w:w="142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January 1, 2014</w:t>
            </w: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152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5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December 31, 2014</w:t>
            </w:r>
          </w:p>
        </w:tc>
        <w:tc>
          <w:tcPr>
            <w:tcW w:w="1520" w:type="dxa"/>
            <w:vAlign w:val="bottom"/>
            <w:tcBorders>
              <w:top w:val="single" w:sz="8" w:color="auto"/>
              <w:bottom w:val="single" w:sz="8" w:color="auto"/>
            </w:tcBorders>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5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 savings initiatives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and separate from, the restructuring plan above, we incurred other charges as part of our efforts to optimize our network of facilities and improve cost efficiencies in our operations:</w:t>
      </w:r>
    </w:p>
    <w:p>
      <w:pPr>
        <w:spacing w:after="0" w:line="81" w:lineRule="exact"/>
        <w:rPr>
          <w:sz w:val="20"/>
          <w:szCs w:val="20"/>
          <w:color w:val="auto"/>
        </w:rPr>
      </w:pPr>
    </w:p>
    <w:p>
      <w:pPr>
        <w:jc w:val="both"/>
        <w:ind w:left="660" w:hanging="247"/>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we determined that certain manufacturing facilities located in Boulder, Colorado, were no longer needed and accordingly, they were abandoned during the fourth quarter. This resulted in the write-off of the carrying value of the facility, which aggregated $118 million, during the year ended December 31, 2012. The amount is included in Cost of sales in the Consolidated Statement of Income.</w:t>
      </w:r>
    </w:p>
    <w:p>
      <w:pPr>
        <w:spacing w:after="0" w:line="95"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2013 and 2012, we recorded certain charges aggregating approximately $71 million and $175 million, respectively, which are included in Other operating expenses in the Consolidated Statements of Income. The expenses are primarily severance-related. The 2012 charges also included expenses associated with abandoning leased facilities.</w:t>
      </w:r>
    </w:p>
    <w:p>
      <w:pPr>
        <w:spacing w:after="0" w:line="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Onyx Pharmaceuticals</w:t>
      </w:r>
    </w:p>
    <w:p>
      <w:pPr>
        <w:spacing w:after="0" w:line="146" w:lineRule="exact"/>
        <w:rPr>
          <w:sz w:val="20"/>
          <w:szCs w:val="20"/>
          <w:color w:val="auto"/>
        </w:rPr>
      </w:pPr>
    </w:p>
    <w:p>
      <w:pPr>
        <w:jc w:val="both"/>
        <w:ind w:firstLine="405"/>
        <w:spacing w:after="0" w:line="217" w:lineRule="auto"/>
        <w:rPr>
          <w:sz w:val="20"/>
          <w:szCs w:val="20"/>
          <w:color w:val="auto"/>
        </w:rPr>
      </w:pPr>
      <w:r>
        <w:rPr>
          <w:rFonts w:ascii="Times New Roman" w:cs="Times New Roman" w:eastAsia="Times New Roman" w:hAnsi="Times New Roman"/>
          <w:sz w:val="18"/>
          <w:szCs w:val="18"/>
          <w:color w:val="auto"/>
        </w:rPr>
        <w:t>On October 1, 2013, we acquired all of the outstanding stock of Onyx Pharmaceuticals, Inc. (Onyx), a global biopharmaceutical company engaged in the development and commercialization of innovative therapies for improving the lives of people afflicted with cancer. Onyx has a multiple myeloma franchise, with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Injection (marketed by Onyx, an Amgen subsidiary) already approved in the United States, and with oprozomib being evaluated in clinical trials for patients with hematologic malignancies. In addition, Onyx has three partnered oncology assets: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tablets (an Onyx and Bayer compound), Stivarga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tablets (a Bayer compound), and palbociclib (a Pfizer, Inc. (Pfizer) compound). This transaction, which was accounted for as a business combination, provides us with an opportunity to expand our oncology franchise. Onyx’s operations have been included in our consolidated financial statements commencing on the acquisition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58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9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aggregate consideration to acquire Onyx was paid in cash and consisted of (in millions):</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9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w:t>
            </w:r>
          </w:p>
        </w:tc>
        <w:tc>
          <w:tcPr>
            <w:tcW w:w="9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paid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9,714</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$9,517 million cash payment consisted of a $9,186 million cash payment to the outstanding common stockholders and a $331 million cash payment to the Onyx equity award holders for services rendered prior to October 1, 2013 under the Onyx equity award plans. The remaining $197 million of cash, which related to the accelerated vesting of the remaining Onyx equity awards, was recognized as compensation expense during the three months ended December 31, 2013. This amount was included primarily in Selling, general and administrative expense in the Consolidated Statement of Income.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consideration to acquire Onyx was allocated to the acquisition date fair values of assets acquired and liabilities assumed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9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 - IPR&amp;D</w:t>
            </w:r>
          </w:p>
        </w:tc>
        <w:tc>
          <w:tcPr>
            <w:tcW w:w="9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9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 Developed product technology rights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6,190</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 Licensing rights</w:t>
            </w:r>
          </w:p>
        </w:tc>
        <w:tc>
          <w:tcPr>
            <w:tcW w:w="9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r>
      <w:tr>
        <w:trPr>
          <w:trHeight w:val="27"/>
        </w:trPr>
        <w:tc>
          <w:tcPr>
            <w:tcW w:w="9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9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9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7"/>
        </w:trPr>
        <w:tc>
          <w:tcPr>
            <w:tcW w:w="9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(liabilities), net</w:t>
            </w:r>
          </w:p>
        </w:tc>
        <w:tc>
          <w:tcPr>
            <w:tcW w:w="9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9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w:t>
            </w: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9,517</w:t>
            </w:r>
          </w:p>
        </w:tc>
      </w:tr>
      <w:tr>
        <w:trPr>
          <w:trHeight w:val="27"/>
        </w:trPr>
        <w:tc>
          <w:tcPr>
            <w:tcW w:w="9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9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Onyx’s preliminary goodwill at December 31, 2013 was reduced during the year ended December 31, 2014, by $124 million due primarily to revisions which increased the acquisition date fair values of developed product technology rights by $280 million and deferred income taxes by $93 million, and decreased inventory by $80 million. The adjustments did not have a material effect on our current or prior period financial statements.</w:t>
      </w:r>
    </w:p>
    <w:p>
      <w:pPr>
        <w:spacing w:after="0" w:line="95"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developed product technology rights acquired relate to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which is approved in the United States. This product technology is being amortized on a straight-line basis over the estimated useful life of 12 years.</w:t>
      </w:r>
    </w:p>
    <w:p>
      <w:pPr>
        <w:spacing w:after="0" w:line="11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Licensing rights acquired represent the aggregate estimated fair values of receiving future milestone, royalty and/or profit sharing payments associated with various contract agreements that were entered into by Onyx prior to the acquisition. The weighted-average useful life of these finite-lived intangible assets is ten years and they are being amortized on a straight-line basis.</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values of the developed product technology rights and licensing rights acquired were determined by estimating the probability-weighted net cash flows attributable to these rights discounted to present value using a discount rate that represents the estimated rate that market participants would use to value these intangible assets.</w:t>
      </w:r>
    </w:p>
    <w:p>
      <w:pPr>
        <w:spacing w:after="0" w:line="95"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The estimated fair values of acquired IPR&amp;D are related to: (i) the development of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territories outside the U.S. (excluding Japan), where regulatory approval to market the product has not been received, and (ii) oprozomib. The estimated fair values were determined using a probability-weighted income approach, which discounts expected future cash flows to present value using a discount rate that represents the estimated rate that market participants would use to value the assets. The projected cash flows from these projects were based on certain assumptions, including estimates of future revenues and expenses, the time and resources needed to complete development and the probabilities of obtaining marketing approval from regulatory agencies. In January 2015, we and Onyx announced the submission of a Marketing Authorization Application (MAA) for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European Union (EU) for the treatment of patients with relapsed multiple myeloma who have received at least one prior therapy, and the granting of an accelerated assessment by the European Medicines Agency (EMA).</w:t>
      </w:r>
    </w:p>
    <w:p>
      <w:pPr>
        <w:spacing w:after="0" w:line="123" w:lineRule="exact"/>
        <w:rPr>
          <w:sz w:val="20"/>
          <w:szCs w:val="20"/>
          <w:color w:val="auto"/>
        </w:rPr>
      </w:pPr>
    </w:p>
    <w:p>
      <w:pPr>
        <w:jc w:val="both"/>
        <w:ind w:firstLine="405"/>
        <w:spacing w:after="0" w:line="285" w:lineRule="auto"/>
        <w:rPr>
          <w:sz w:val="20"/>
          <w:szCs w:val="20"/>
          <w:color w:val="auto"/>
        </w:rPr>
      </w:pPr>
      <w:r>
        <w:rPr>
          <w:rFonts w:ascii="Times New Roman" w:cs="Times New Roman" w:eastAsia="Times New Roman" w:hAnsi="Times New Roman"/>
          <w:sz w:val="18"/>
          <w:szCs w:val="18"/>
          <w:color w:val="auto"/>
        </w:rPr>
        <w:t>We assumed contingent consideration obligations upon the acquisition of Onyx arising from Onyx's 2009 acquisition of Proteolix, Inc. There were two separate milestone payments of $150 million each which were to be triggered if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received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580" w:right="23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18"/>
          <w:szCs w:val="18"/>
          <w:color w:val="auto"/>
        </w:rPr>
        <w:t>specified marketing approvals for relapsed multiple myeloma on or before March 31, 2016, by each of the U.S. Food and Drug Administration (FDA) and the EMA. The assumed contingent consideration value was determined by discounting probability-adjusted cash outflows to present value using a discount rate that represents the estimated rate that market participants would use. In December 2014, we renegotiated the terms of these milestones and have settled the contingent consideration obligations with the former shareholders of Proteolix, Inc. by agreeing to make a single payment of $225 million, which is currently expected to occur during the first quarter of 2015. See Note 16, Fair value measurement.</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excess of the acquisition date consideration over the fair values assigned to the assets acquired and the liabilities assumed of $2.4 billion was recorded as goodwill, which is not deductible for tax purposes and represents the future economic benefits arising from other assets acquired that could not be individually identified and separately recognized and the expected synergies and other benefits that we believe will result from combining the operations of Onyx with our operations.</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incurred $36 million of transaction-related expense which was recorded in Selling, general, and administrative expenses in the Consolidated Statement of Income for the year ended December 31, 2013.</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pro forma information as if the acquisition of Onyx had occurred on January 1, 2012 (in millions,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BFE4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Pro forma net revenues</w:t>
            </w:r>
          </w:p>
        </w:tc>
        <w:tc>
          <w:tcPr>
            <w:tcW w:w="1080" w:type="dxa"/>
            <w:vAlign w:val="bottom"/>
            <w:tcBorders>
              <w:bottom w:val="single" w:sz="8" w:color="BFE4FF"/>
            </w:tcBorders>
            <w:shd w:val="clear" w:color="auto" w:fill="BFE4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19,141</w:t>
            </w:r>
          </w:p>
        </w:tc>
        <w:tc>
          <w:tcPr>
            <w:tcW w:w="12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17,616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w:t>
            </w:r>
          </w:p>
        </w:tc>
        <w:tc>
          <w:tcPr>
            <w:tcW w:w="108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bl>
    <w:p>
      <w:pPr>
        <w:spacing w:after="0" w:line="14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The unaudited pro forma consolidated results include pro forma adjustments that assume the acquisition occurred on January 1, 2012. The primary adjustments include: (i) the $197 million cash payment that was paid and recognized as compensation expense during the fourth quarter of 2013 related to the accelerated vesting of the remaining Onyx equity awards was included in the net income attributable to Amgen for the year ended December 31, 2012, and</w:t>
      </w:r>
    </w:p>
    <w:p>
      <w:pPr>
        <w:spacing w:after="0" w:line="2" w:lineRule="exact"/>
        <w:rPr>
          <w:sz w:val="20"/>
          <w:szCs w:val="20"/>
          <w:color w:val="auto"/>
        </w:rPr>
      </w:pPr>
    </w:p>
    <w:p>
      <w:pPr>
        <w:jc w:val="both"/>
        <w:ind w:firstLine="8"/>
        <w:spacing w:after="0" w:line="252"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intangible amortization expense of $488 million and $412 million was included in the year ended December 31, 2013 and 2012, respectively. The adjustments also include the impact of additional interest expense on debt issued in connection with the acquisition of Onyx assuming the debt was incurred on January 1, 2012. The unaudited pro forma consolidated results are not necessarily indicative of what our consolidated results of operations actually would have been had we completed the acquisition on January 1, 2012. In addition, the unaudited pro forma consolidated results do not purport to project the future results of operations of the combined company nor do they reflect the expected realization of any cost savings associated with the acquisition.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Filgrastim and pegfilgrastim rights acquisition</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October 2013, we entered into an agreement to acquire the licenses to filgrastim and pegfilgrastim effective January 1, 2014 (acquisition date), that were held by F. Hoffmann-La Roche Ltd. (Roche) in approximately 100 markets in Eastern Europe, Latin America, Asia, the Middle East and Africa (Product Rights), and to settle our preexisting relationship related to the Product Rights for total consideration of $497 million. The acquisition of the Product Rights was accounted for as a business combination as the acquired rights and processes are capable of producing an immediate return to us, and the settlement of the preexisting relationship was accounted for separately from the business combination.</w:t>
      </w:r>
    </w:p>
    <w:p>
      <w:pPr>
        <w:spacing w:after="0" w:line="1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transaction provides us with an opportunity to expand our geographic presence and reach more patients in more countries that could benefit from our therapies. The operations of the acquired set of activities have been included in our financial statements commencing on the acquisition date. Pro forma results of operations for this acquisition have not been presented because this acquisition is not material to our consolidated results of operations.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consideration transferred consisted of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preexisting relationship at fair value</w:t>
            </w:r>
          </w:p>
        </w:tc>
        <w:tc>
          <w:tcPr>
            <w:tcW w:w="9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consideration transferred to acquire the Product Rights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settlement of the preexisting relationship relates to a supply contract between Amgen and Roche that was terminated as a result of the acquisition of the Product Rights. The fair value of the contract of $99 million was recognized in Cost of sales in the Consolidated Statement of Income for the year ended December 31, 2014.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580" w:right="23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8"/>
          <w:szCs w:val="18"/>
          <w:color w:val="auto"/>
        </w:rPr>
        <w:t>The consideration to acquire the Product Rights was allocated to the acquisition date fair values of assets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 Marketing-related rights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 Developed product technology rights</w:t>
            </w:r>
          </w:p>
        </w:tc>
        <w:tc>
          <w:tcPr>
            <w:tcW w:w="9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consideration</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marketing-related and developed product technology rights acquired relate to the Product Rights and are being amortized on a straight-line basis over their estimated useful lives of five years and three and one-half years,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deCODE Genetics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10, 2012, we acquired for cash all of the outstanding stock of deCODE Genetics (deCODE), a privately held company that is a global leader in human genetics. The transaction provides us with an opportunity to enhance our efforts to identify and validate human disease targets. Consideration was allocated primarily to a finite-lived intangible asset of discovery capacity in the genetics of human diseases with an estimated useful life of 10 years.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KAI Pharmaceuticals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5, 2012, we acquired for cash all of the outstanding stock of KAI Pharmaceuticals (KAI), a privately held biotechnology company that developed AMG 416, its lead product candidate, which is now in phase 3 clinical development for the treatment of secondary hyperparathyroidism in patients with chronic kidney disease (CKD) who are on dialysis. The transaction provides us with an opportunity to further expand our nephrology pipeline. The acquired IPR&amp;D is related to AMG 416.</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Goodwill is attributable primarily to expected synergies and other benefits from combining KAI with our nephrology development and commercialization activities.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Mustafa Nevzat Pharmaceuticals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12, 2012, we acquired for cash substantially all of the outstanding stock of Mustafa Nevzat Pharmaceuticals (MN), a privately held company that is a leading supplier of pharmaceuticals to the hospital sector and a major supplier of injectable medicines in Turkey. The transaction provides us with the opportunity to expand our presence in Turkey and the surrounding region.</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finite-lived intangible assets acquired are related primarily to the fair values of MN's regulatory approvals and customer relationships with regard to the marketing of pharmaceutical products and are being amortized on a straight-line basis over their estimated useful lives. The weighted-average useful life of these intangible assets is eight years.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is attributable primarily to MN's expected continued commercial presence in Turkey and other benefits.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Micromet, Inc.</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7, 2012, we acquired for cash consideration Micromet, Inc. (Micromet), a publicly held biotechnology company focused on the discovery, development and commercialization of innovative antibody-based therapies for the treatment of cancer. This transaction provides us with an opportunity to further expand our oncology pipeline.</w:t>
      </w:r>
    </w:p>
    <w:p>
      <w:pPr>
        <w:spacing w:after="0" w:line="95" w:lineRule="exact"/>
        <w:rPr>
          <w:sz w:val="20"/>
          <w:szCs w:val="20"/>
          <w:color w:val="auto"/>
        </w:rPr>
      </w:pPr>
    </w:p>
    <w:p>
      <w:pPr>
        <w:jc w:val="both"/>
        <w:ind w:firstLine="405"/>
        <w:spacing w:after="0" w:line="233" w:lineRule="auto"/>
        <w:rPr>
          <w:sz w:val="20"/>
          <w:szCs w:val="20"/>
          <w:color w:val="auto"/>
        </w:rPr>
      </w:pPr>
      <w:r>
        <w:rPr>
          <w:rFonts w:ascii="Times New Roman" w:cs="Times New Roman" w:eastAsia="Times New Roman" w:hAnsi="Times New Roman"/>
          <w:sz w:val="18"/>
          <w:szCs w:val="18"/>
          <w:color w:val="auto"/>
        </w:rPr>
        <w:t>The estimated fair value of acquired IPR&amp;D is related to blinatumomab and outlicense agreements entered into by Micromet prior to our acquisition of the company where we continue to play an active role in the development of the respective programs. In December 2014, we announced that the FDA has granted approval of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patients with Philadelphia chromosome-negative (Ph-) relapsed or refractory B-cell precursor acute lymphoblastic leukemia (ALL).</w:t>
      </w:r>
    </w:p>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2014 and 2012, we wrote-off non-key IPR&amp;D outlicensing programs resulting in impairment charges of $46 million and $19 million, respectively. Both of these charges were included in Other operating expenses in the Consolidated Statements of Income.</w:t>
      </w:r>
    </w:p>
    <w:p>
      <w:pPr>
        <w:spacing w:after="0" w:line="81" w:lineRule="exact"/>
        <w:rPr>
          <w:sz w:val="20"/>
          <w:szCs w:val="20"/>
          <w:color w:val="auto"/>
        </w:rPr>
      </w:pPr>
    </w:p>
    <w:p>
      <w:pPr>
        <w:jc w:val="both"/>
        <w:ind w:firstLine="405"/>
        <w:spacing w:after="0" w:line="228" w:lineRule="auto"/>
        <w:rPr>
          <w:sz w:val="20"/>
          <w:szCs w:val="20"/>
          <w:color w:val="auto"/>
        </w:rPr>
      </w:pPr>
      <w:r>
        <w:rPr>
          <w:rFonts w:ascii="Times New Roman" w:cs="Times New Roman" w:eastAsia="Times New Roman" w:hAnsi="Times New Roman"/>
          <w:sz w:val="18"/>
          <w:szCs w:val="18"/>
          <w:color w:val="auto"/>
        </w:rPr>
        <w:t>The R&amp;D technology rights acquired relate to Micromet's BiTE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 which has produced various product candidates that are currently being developed as cancer treatments by the Company and others and may lead to the development of additional product candidates. The fair value of this technology is being amortized on a straight-line basis over its estimated useful life of 10 years.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580" w:right="239" w:bottom="1440" w:gutter="0" w:footer="0" w:header="0"/>
        </w:sectPr>
      </w:pPr>
    </w:p>
    <w:bookmarkStart w:id="91" w:name="page92"/>
    <w:bookmarkEnd w:id="91"/>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Goodwill is attributable primarily to expected synergies and other benefits from combining Micromet with our oncology development and commercialization activities.</w:t>
      </w:r>
    </w:p>
    <w:p>
      <w:pPr>
        <w:spacing w:after="0" w:line="8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consideration to acquire deCODE, KAI, MN, and Micromet was allocated to the acquisition date fair values of the assets acquired and liabilities assumed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deCODE</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KAI</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MN</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Micromet</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product technology rights</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technology rights</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Marketing-related rights</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(liabilities), net</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1,146</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values of intangible assets were primarily determined using a probability-weighted income approach, which discounts expected future cash flows to present value by using a discount rate that represents the estimated rate that market participants would use to value this intangible asset. The projected cash flows were based on certain assumptions, including estimates of future revenues and expenses, the time and resources needed to complete development and the probabilities of obtaining marketing approval from the FDA and other regulatory agencies.</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all IPR&amp;D projects in the acquisitions discussed above, including Onyx,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Consequently, the eventual realized value, if any, of these acquired IPR&amp;D projects may vary from their estimated fair values at the dates of acquisition.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On May 22, 2013, our stockholders approved our Amended and Restated 2009 Equity Incentive Plan (the Amended 2009 Plan), which amended and restated our 2009 Equity Incentive Plan (the 2009 Plan) and increased the number of shares of our common stock authorized for issuance pursuant to equity-based awards under the 2009 Plan to approximately 104 million shares (plus any additional shares that are added back into the authorized pool as described below). Like the 2009 Plan, the Amended 2009 Plan provides for grants of equity-based awards, including RSUs, stock options and performance units to employees and consultants of Amgen, its subsidiaries and non-employee members of our Board of Directors. The 2009 Plan replaced our prior equity plans (the Prior Plans), and no further awards may be made under these Prior Plans. Consistent with the 2009 Plan, the pool of shares available under the Amended 2009 Plan is reduced by one share for each stock option granted and by 1.9 shares for other types of awards granted, including RSUs and performance units (full-value awards). Generally, if any shares subject to an award granted under the Amended 2009 Plan expire, or are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 value awards will be added back into the authorized pool on the basis of 1.9 shares. As of December 31, 2014, the Amended 2009 Plan provides for future grants and/or issuances of up to approximately 52 million shares of our common stock. Stock-based awards under our employee compensation plans are made with newly issued shares reserved for this purpose.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580" w:right="23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t>The following table reflects the components of stock-based compensation expense recognized in our Consolidated Statements of Income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units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pretax</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from stock-based compensation expense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96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6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and stock options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Eligible employees generally receive a grant of RSUs annually with the size and type of award generally determined by the employee’s salary grade and performance level. In addition, certain management and professional level employees typically receive RSU grants upon commencement of employment. Prior to 2012, eligible employees also received a grant of stock options annually. Prior to February 2013, non-employee members of our Board of Directors (outside directors) received a grant of RSUs and stock options annually and received a grant of stock options in connection with their appointment to the Board of Directors. Beginning in April 2013, outside directors receive only annual grants of RSUs.</w:t>
      </w:r>
    </w:p>
    <w:p>
      <w:pPr>
        <w:spacing w:after="0" w:line="1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RSU and stock option grants provide for accelerated or continued vesting in certain circumstances as defined in the plans and related grant agreements, including upon death, disability, a change in control, termination in connection with a change in control and the retirement of employees who meet certain service and/or age requirements. RSUs and stock options granted prior to April 25, 2011, generally vest in equal amounts on each of the first four anniversaries of the grant date. Stock options and RSUs granted on and after April 25, 2011, generally vest in approximately equal amounts on the second, third and fourth anniversaries of the grant date. RSUs granted on and after April 27, 2012, accrue dividend equivalents which are typically payable in shares and only when and to the extent the underlying RSUs vest and are issued to the recipient.</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grant date fair value of an RSU equaled the closing price of our common stock on the grant date for RSUs granted prior to April 25, 2011, and on and after April 27, 2012. Prior to April 2011, we did not have a policy of paying dividends, and beginning April 27, 2012, RSUs granted accrue dividend equivalents during the vesting period. The fair values of RSUs granted on April 25, 2011 through April 26, 2012, are based on the closing price of our common stock on the grant date reduced by the weighted-average expected dividend yield of 2.0% over the weighted-average vesting period, discounted at a weighted-average risk-free interest rate of 1.0%. The weighted-average grant date fair values of RSUs granted in 2014, 2013 and 2012 were $115.63, $107.01 and $72.99, respectively. The following summarizes select information regarding our RSUs:</w:t>
      </w:r>
    </w:p>
    <w:p>
      <w:pPr>
        <w:spacing w:after="0" w:line="33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During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24765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nonvested at December 31, 2013</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43"/>
        </w:trPr>
        <w:tc>
          <w:tcPr>
            <w:tcW w:w="8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115.63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43"/>
        </w:trPr>
        <w:tc>
          <w:tcPr>
            <w:tcW w:w="8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90.77</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nonvested at December 31, 2014</w:t>
            </w:r>
          </w:p>
        </w:tc>
        <w:tc>
          <w:tcPr>
            <w:tcW w:w="14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values of shares associated with RSUs that vested during the years ended December 31, 2014, 2013 and 2012, were $191 million, $145 million and $139 million, respectively.</w:t>
      </w:r>
    </w:p>
    <w:p>
      <w:pPr>
        <w:spacing w:after="0" w:line="8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were approximately $357 million of unrecognized compensation costs related to nonvested stock option and RSU awards, which are expected to be recognized over a weighted-average period of 1.7 years.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580" w:right="239" w:bottom="1440" w:gutter="0" w:footer="0" w:header="0"/>
        </w:sectPr>
      </w:pPr>
    </w:p>
    <w:bookmarkStart w:id="93" w:name="page94"/>
    <w:bookmarkEnd w:id="93"/>
    <w:p>
      <w:pPr>
        <w:ind w:left="4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exercise price for stock options is set at the closing price of our common stock on the date of grant and the related number of shares granted is fixed at that point in time. Awards granted to employees on and after April 26, 2010, expire 10 years from the date of grant; options granted to employees prior to that date expire seven years from the date of grant. We did not grant stock options during the year ended December 31, 2014, and stock options granted during the years ended December 31, 2013 and 2012, were not significant.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select information regarding our stock options: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During the year ended December 31, 2014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8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1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unexercised at December 31, 2013</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unexercised at December 31, 2014</w:t>
            </w: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54.48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Vested or expected to vest at December 31, 2014</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54.48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December 31, 2014</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total intrinsic values of options exercised during the years ended December 31, 2014, 2013 and 2012, were $228 million, $210 million and $320 million, respectively. The actual tax benefits realized from tax deductions from option exercises during the three years ended December 31, 2014, 2013 and 2012, were $83 million, $77 million and $117 million,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14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in 2014, 2013 and 2012, which are accounted for as equity awards, are based upon Amgen’s stockholder return compared with a comparator group of companies, which are considered market conditions and are reflected in the grant date fair values of the units. The expense recognized for the awards is based on the grant date fair value of a unit multiplied by the number of units granted,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participants vest in their performance unit awards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which are typically payable in shares and only when and to the extent the underlying performance units vest and are issued to the recipient, including with respect to market conditions that affect the number of performance units earned.</w:t>
      </w:r>
    </w:p>
    <w:p>
      <w:pPr>
        <w:spacing w:after="0" w:line="11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used payout simulation models to estimate the grant date fair value of performance units granted in 2014, 2013 and 2012. The weighted-average assumptions used in these models and the resulting weighted-average grant date fair values of our performance units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price of our common stock on grant date</w:t>
            </w: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92.03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68.75</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unit</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78.21</w:t>
            </w:r>
          </w:p>
        </w:tc>
      </w:tr>
      <w:tr>
        <w:trPr>
          <w:trHeight w:val="621"/>
        </w:trPr>
        <w:tc>
          <w:tcPr>
            <w:tcW w:w="4560" w:type="dxa"/>
            <w:vAlign w:val="bottom"/>
          </w:tcPr>
          <w:p>
            <w:pPr>
              <w:spacing w:after="0"/>
              <w:rPr>
                <w:sz w:val="24"/>
                <w:szCs w:val="24"/>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F-17</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94" w:name="page95"/>
    <w:bookmarkEnd w:id="94"/>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payout simulation models also assumed correlations of returns of the stock prices of our common stock and the common stocks of the comparator groups of companies and stock price volatilities of the comparator groups of companies.</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2014 and 2013, a total of 5.8 million and 6.6 million performance units were outstanding with weighted-average grant date fair values of $92.66 and $76.95 per unit, respectively. During the year ended December 31, 2014, 1.7 million performance units with a weighted-average grant date fair value of $104.47 were granted, 3.7 million performance units with a weighted-average grant date fair value of $77.89 vested, and 0.5 million performance units with a weighted-average grant date fair value of $95.01 were forfeited.</w:t>
      </w:r>
    </w:p>
    <w:p>
      <w:pPr>
        <w:spacing w:after="0" w:line="9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total fair values of performance units that vested during 2014, 2013 and 2012 were $587 million, $270 million and $100 million, respectively, based upon the number of performance units earned multiplied by the closing stock price of our common stock on the last day of the performance period.</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approximately $133 million of unrecognized compensation cost related to the 2014 and 2013 performance unit grants that is expected to be recognized over a weighted-average period of approximately 0.9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 for income taxes included the following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6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provision</w:t>
            </w: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6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provision</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tax effect of temporary differences between the carrying amounts of assets and liabilities for financial reporting purposes and the amounts used for income tax purposes, tax credit carryforwards and the tax effects of net operating loss (NOL) carryforwards.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580" w:right="23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1,017</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accruals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capitalized for tax</w:t>
            </w:r>
          </w:p>
        </w:tc>
        <w:tc>
          <w:tcPr>
            <w:tcW w:w="10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1,951</w:t>
            </w:r>
          </w:p>
        </w:tc>
      </w:tr>
      <w:tr>
        <w:trPr>
          <w:trHeight w:val="318"/>
        </w:trPr>
        <w:tc>
          <w:tcPr>
            <w:tcW w:w="77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7"/>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7"/>
        </w:trPr>
        <w:tc>
          <w:tcPr>
            <w:tcW w:w="7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deferred income taxes, net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valuation allowance for deferred tax assets increased by $22 million and $41 million in 2014 and 2013, respectively, due primarily to valuation allowances established as part of acquisitions and the Company’s expectation that some state NOLs and R&amp;D credits will not be utilized.</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December 31, 2014, we had $39 million of federal tax credit carryforwards available to reduce future federal income taxes and have provided a valuation allowance for $21 million of those federal tax credit carryforwards. The federal tax credit carryforwards for which no valuation allowance has been provided expire between 2031 and 2033. We had $341 million of state tax credit carryforwards available to reduce future state income taxes and have provided a valuation allowance for $222 million of those state tax credit carryforwards. The majority of the state tax credit carryforwards have no expiry.</w:t>
      </w:r>
    </w:p>
    <w:p>
      <w:pPr>
        <w:spacing w:after="0" w:line="9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At December 31, 2014, we had $97 million of NOL carryforwards available to reduce future federal income taxes and have provided a valuation allowance for $83 million of those federal NOL carryforwards. The federal NOL carryforwards, for which no valuation allowance has been provided, expire between 2020 and 2031. We had $697 million of NOL carryforwards available to reduce future state income taxes and have provided a valuation allowance for $421 million of those state NOL carryforwards. The state NOLs for which no valuation allowance has been provided expire between 2015 and 2031. We had $1.3 billion of NOL carryforwards available to reduce future foreign income taxes and have provided a valuation allowance for $770 million of those foreign NOL carryforwards. The majority of the foreign NOLs have no expiry; the remaining foreign NOLs expire between 2015 and 2024.</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580" w:right="239" w:bottom="1440" w:gutter="0" w:footer="0" w:header="0"/>
        </w:sectPr>
      </w:pPr>
    </w:p>
    <w:bookmarkStart w:id="96" w:name="page97"/>
    <w:bookmarkEnd w:id="96"/>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reconciliations of the total gross amounts of UTBs (excluding interest, penalties, foreign tax credits and the federal tax benefit of state taxes related to UTBs)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During the years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975</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for expiration of statute of limitations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5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Substantially all of the UTBs as of December 31, 2014, if recognized, would affect our effective tax rate. During the year ended December 31, 2013, we settled our examination with the Internal Revenue Service (IRS) for the years ended December 31, 2007, 2008 and 2009. During the year ended December 31, 2012, we settled examinations with various state and foreign tax authorities for prior tax years. As a result of these developments, we remeasured our UTBs accordingly. As of December 31, 2014, we believe it is reasonably possible that our gross liabilities for UTBs may decrease by approximately $70 million within the succeeding twelve months due to the resolution of state audits.</w:t>
      </w:r>
    </w:p>
    <w:p>
      <w:pPr>
        <w:spacing w:after="0" w:line="1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UTBs are included in our provision for income taxes. During 2014, 2013 and 2012, we accrued approximately $35 million, $32 million and $30 million, respectively, of interest and penalties through the income tax provision in the Consolidated Statements of Income. At December 31, 2014 and 2013, accrued interest and penalties associated with UTBs totaled approximately $134 million and $99 million, respectively.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reconciliations between the federal statutory tax rate applied to income before income taxes and our effective tax rate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80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earnings, including earnings invested indefinitely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Credits, Puerto Rico Excise Tax</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Credits, primarily federal R&amp;D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Audit settlements (federal, state, foreign)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rates for the years ended December 31, 2014, 2013 and 2012, are different from the federal statutory rates primarily as a result of indefinitely invested earnings of our foreign operations. We do not provide for U.S. income taxes on undistributed earnings of our foreign operations that are intended to be invested indefinitely outside the United States. Substantially all of the benefit from foreign earnings on our effective tax rate results from foreign income associated with the Company’s operation conducted in Puerto Rico that is subject to a tax incentive grant that expires in 2020. At December 31, 2014, the cumulative amount of these earnings was approximately $29.3 billion. If these earnings were repatriated to the United States, we would be required to accrue and pay approximately $10.5 billion of additional income taxes based on the current tax rates in effect.</w:t>
      </w:r>
    </w:p>
    <w:p>
      <w:pPr>
        <w:spacing w:after="0" w:line="1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total foreign income before income taxes was approximately $4.1 billion, $3.7 billion and $3.3 billion for the years ended December 31, 2014, 2013 and 2012, respectively.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580" w:right="239" w:bottom="1440" w:gutter="0" w:footer="0" w:header="0"/>
        </w:sectPr>
      </w:pPr>
    </w:p>
    <w:bookmarkStart w:id="97" w:name="page98"/>
    <w:bookmarkEnd w:id="97"/>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Puerto Rico imposes an excise tax on the gross intercompany purchase price of goods and services from our manufacturer in Puerto Rico. The rate was 3.75% in 2012, 2.75% in the first half of 2013 and 4.0% effective July 1, 2013 through December 31, 2017.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w:t>
      </w:r>
    </w:p>
    <w:p>
      <w:pPr>
        <w:spacing w:after="0" w:line="9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Because the American Taxpayer Relief Act of 2012 was not enacted until 2013, certain provisions of the Act benefiting the Company's 2012 federal taxes, including the retroactive extension of the R&amp;D tax credit for 2012, were not recognized in the Company's 2012 financial results and instead are reflected in the Company's 2013 financial results. The tax benefit of the retroactive extension of the 2012 R&amp;D tax credit that was recognized in 2013 was $70 million.</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taxes paid during the years ended December 31, 2014, 2013 and 2012, totaled $269 million, $321 million and $502 million, respectively.</w:t>
      </w:r>
    </w:p>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deductions, the use of tax credits and allocations of income among various tax jurisdictions because of differing interpretations of tax laws and regulations. We are no longer subject to U.S. federal income tax examinations for tax years ended on or before December 31, 2009, or to California state income tax examinations for tax years ended on or before December 31, 2005. We are currently under audit by the IRS for tax years ended December 31, 2010, 2011 and 2012.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restricted stock and performance unit awards, determined using the treasury stock method; and our convertible notes and warrants while outstanding (collectively “dilutive securities”). For further information regarding our convertible notes and warrants, see Note 14, Financing arrangements.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computation for basic and diluted EPS was as follows (in millions, except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(Numerator):</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for basic and diluted EPS</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5,158</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4,345</w:t>
            </w:r>
          </w:p>
        </w:tc>
      </w:tr>
      <w:tr>
        <w:trPr>
          <w:trHeight w:val="67"/>
        </w:trPr>
        <w:tc>
          <w:tcPr>
            <w:tcW w:w="64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(Denominator):</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5.52</w:t>
            </w: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2014 and 2013, the number of anti-dilutive employee stock-based awards excluded from the computation of diluted EPS was not significant. For the year ended December 31, 2012, there were employee stock-based awards, calculated on a weighted-average basis, to acquire 6 million shares of our common stock that are not included in the computation of diluted EPS because their impact would have been anti-dilutive.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Collaborative arrangements</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collaborative arrangement is a contractual arrangement that involves a joint operating activity. These arrangements involve two or more parties who are both: (i) active participants in the activity; and (ii) exposed to significant risks and rewards dependent on the commercial success of the activity.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580" w:right="239" w:bottom="1440" w:gutter="0" w:footer="0" w:header="0"/>
        </w:sectPr>
      </w:pPr>
    </w:p>
    <w:bookmarkStart w:id="98" w:name="page99"/>
    <w:bookmarkEnd w:id="98"/>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enter into collaborative arrangements for the R&amp;D, manufacture and/or commercialization of products and/or product candidates. These collaborations generally provide for non-refundable upfront license fees, development and commercial performance milestone payments, cost sharing, royalty payments and/or profit sharing. Our collaboration agreements are performed with no guarantee of either technological or commercial success and each is unique in nature. Our significant arrangements are discussed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Pfizer Inc.</w:t>
      </w:r>
    </w:p>
    <w:p>
      <w:pPr>
        <w:spacing w:after="0" w:line="146"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8"/>
          <w:szCs w:val="18"/>
          <w:color w:val="auto"/>
        </w:rPr>
        <w:t>The co-promotion term of our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collaboration agreement with Pfizer in the United States and Canada expired on October 31, 2013. Under the collaboration agreement in which we were the principal participant, Amgen and Pfizer shared in the agreed-upon selling and marketing expenses approved by a joint committee. We paid Pfizer a percentage of annual gross profits on our ENBREL sales in the United States and Canada on a scale that increased with gross profits; however, we maintained a majority share of ENBREL profits. Upon expiration of the co-promotion term, we are required to pay Pfizer residual royalties based on a declining percentage of annual net ENBREL sales in the United States and Canada for three years, ranging from 12% to 10%. The amounts of such payments are significantly less than what was owed based on the terms of the previous ENBREL profit share. Effective November 1, 2016, there will be no further royalty payments.</w:t>
      </w:r>
    </w:p>
    <w:p>
      <w:pPr>
        <w:spacing w:after="0" w:line="11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aggregate net amounts due to Pfizer under this arrangement for the ENBREL profit share and the royalties on ENBREL sales after the expiration of the co-promotion term, net of their share of selling and marketing expense was $1.3 billion during each of the years ended December 31, 2013 and 2012. During the year ended December 31, 2014, royalties due to Pfizer on ENBREL sales were $509 million. These amounts are included in Selling, general and administrative expense in the Consolidated Statements of Income.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 Group Limited</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April 1, 2014, we entered into a Termination and Transition Agreement (the Transition Agreement) which terminated our collaboration with Glaxo Group Limited (Glaxo), a wholly owned subsidiary of GlaxoSmithKline plc, for the commercialization of denosumab for osteoporosis indications for all countries and regions, except for Australia. Prior to the Transition Agreement, the collaboration included the EU, Switzerland, Australia, Norway, Russia and Mexico. We continue to be in a collaboration for the commercialization of denosumab for osteoporosis indications in Australia. We share equally in the commercialization profits and losses related to the collaboration after accounting for expenses, including an amount payable to us in recognition of our discovery and development of denosumab. Glaxo is also responsible for bearing a portion of the cost of certain specified development activities.</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Prior to the Transition Agreement, Amgen was the principal participant in the collaboration, and accordingly, we recorded product sales to third parties net of estimated returns, rebates and other deductions. During the years ended December 31, 2014, 2013 and 2012, product sales under the collaboration were $67 million, $219 million and $139 million, respectively. During the years end December 31, 2014, 2013 and 2012, net cost recoveries due to/from Glaxo under the collaboration agreement were not material.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Plc.</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 a collaboration with AstraZeneca Plc. (AstraZeneca) to jointly develop and commercialize certain monoclonal antibodies from Amgen's clinical inflammation portfolio, including brodalumab, AMG 139, AMG 157, AMG 181, AMG 557 and AMG 570. The agreement covers the worldwide development and commercialization of these antibodies, except for certain Asian countries for brodalumab and Japan for AMG 557 and AMG 570, which are licensed to other third parties.</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approximately 65% of related development costs for the 2012-2014 periods were funded by AstraZeneca; now, the companies share costs equally. If approved for sale, Amgen would receive a low-single-digit royalty rate for brodalumab and a mid-single-digit royalty rate for the rest of the portfolio, after which the worldwide commercialization profits and losses related to the collaboration products would be shared equally. In 2012, we received a payment of $50 million, in connection with the transfer of technology rights, which was recognized in Other revenues in the Consolidated Statement of Income. During the years ended December 31, 2014, 2013 and 2012, cost recoveries recognized for development costs were $110 million, $194 million and $28 million, respectively, which are included in Research and development expense in the Consolidated Statements of Income</w:t>
      </w:r>
      <w:r>
        <w:rPr>
          <w:rFonts w:ascii="Times New Roman" w:cs="Times New Roman" w:eastAsia="Times New Roman" w:hAnsi="Times New Roman"/>
          <w:sz w:val="18"/>
          <w:szCs w:val="18"/>
          <w:b w:val="1"/>
          <w:bCs w:val="1"/>
          <w:color w:val="auto"/>
        </w:rPr>
        <w: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collaboration agreement will continue in effect unless terminated in accordance with its terms.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580"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Takeda Pharmaceutical Company Limited</w:t>
      </w:r>
    </w:p>
    <w:p>
      <w:pPr>
        <w:spacing w:after="0" w:line="146"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In 2008, we entered into an arrangement with Takeda Pharmaceutical Company Limited (Takeda), that provided Takeda both: (i) the exclusive rights to develop and commercialize for the Japanese market up to 12 molecules, including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from our portfolio across a range of therapeutic areas, including oncology and inflammation (collectively the “Japanese market products”) and (ii) the right to collaborate with us on the worldwide (outside Japan) development and commercialization of our product candidate, motesanib. In 2011, we announced that the motesanib pivotal phase 3 trial (MONET1) had not met its primary objective of demonstrating an improvement in overall survival in patients with advanced non-squamous non-small cell lung cancer.</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In June 2012, the parties materially modified this arrangement such that Amgen licensed all of its rights to motesanib to Takeda, which now has control over the worldwide development and commercialization of motesanib. Upon modification, we immediately recognized $230 million of the deferred revenue that related to upfront payments we received in 2008 in Other revenues in the Consolidated Statement of Income.</w:t>
      </w:r>
    </w:p>
    <w:p>
      <w:pPr>
        <w:spacing w:after="0" w:line="95" w:lineRule="exact"/>
        <w:rPr>
          <w:sz w:val="20"/>
          <w:szCs w:val="20"/>
          <w:color w:val="auto"/>
        </w:rPr>
      </w:pPr>
    </w:p>
    <w:p>
      <w:pPr>
        <w:jc w:val="both"/>
        <w:ind w:firstLine="405"/>
        <w:spacing w:after="0" w:line="233" w:lineRule="auto"/>
        <w:rPr>
          <w:sz w:val="20"/>
          <w:szCs w:val="20"/>
          <w:color w:val="auto"/>
        </w:rPr>
      </w:pPr>
      <w:r>
        <w:rPr>
          <w:rFonts w:ascii="Times New Roman" w:cs="Times New Roman" w:eastAsia="Times New Roman" w:hAnsi="Times New Roman"/>
          <w:sz w:val="18"/>
          <w:szCs w:val="18"/>
          <w:color w:val="auto"/>
        </w:rPr>
        <w:t>During the years ended December 31, 2013 and 2012, cost recoveries from Takeda were $34 million and $74 million, respectively, and are included in Research and development expense in the Consolidated Statements of Income. There were no significant cost recoveries during the year ended December 31, 2014. In addition, for the years ended December 31, 2014, 2013 and 2012, we recognized royalties on sales of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 of $17 million, $18 million and $21 million respectively, in Other revenues in the Consolidated Statements of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UCB</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in a collaboration with UCB for the development and commercialization of romosozumab. Under the agreement, we received the rights to commercialize romosozumab for all indications in the United States, Canada, Mexico and Japan. UCB has the rights for all EU members at the time of first regulatory approval, Australia and New Zealand. Prior to commercialization, countries that have not been initially designated will be designated to Amgen or UCB in accordance with the terms of the agreement.</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Generally, development costs are shared equally and we will share equally in the worldwide commercialization profits and losses related to the collaboration after accounting for expenses.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collaboration agreement will continue in effect unless terminated earlier in accordance with its terms.</w:t>
      </w:r>
    </w:p>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the net costs recovered from UCB were $96 million, $66 million, and $71 million, respectively, which are included in Research and development expense in the Consolidated Statements of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Pharmaceuticals Inc.</w:t>
      </w:r>
    </w:p>
    <w:p>
      <w:pPr>
        <w:spacing w:after="0" w:line="146" w:lineRule="exact"/>
        <w:rPr>
          <w:sz w:val="20"/>
          <w:szCs w:val="20"/>
          <w:color w:val="auto"/>
        </w:rPr>
      </w:pPr>
    </w:p>
    <w:p>
      <w:pPr>
        <w:jc w:val="both"/>
        <w:ind w:firstLine="405"/>
        <w:spacing w:after="0" w:line="212" w:lineRule="auto"/>
        <w:rPr>
          <w:sz w:val="20"/>
          <w:szCs w:val="20"/>
          <w:color w:val="auto"/>
        </w:rPr>
      </w:pPr>
      <w:r>
        <w:rPr>
          <w:rFonts w:ascii="Times New Roman" w:cs="Times New Roman" w:eastAsia="Times New Roman" w:hAnsi="Times New Roman"/>
          <w:sz w:val="18"/>
          <w:szCs w:val="18"/>
          <w:color w:val="auto"/>
        </w:rPr>
        <w:t>As a result of our acquisition of Onyx, we are now party to a collaboration with Bayer to jointly develop and commercialize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worldwide, except in Japan. The rights to develop and market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 are reserved to Bayer. Bayer has no obligation to pay royalties to Amgen for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Japan.</w:t>
      </w:r>
    </w:p>
    <w:p>
      <w:pPr>
        <w:spacing w:after="0" w:line="21"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currently marketed and sold in more than 100 countries around the world for the treatment of unresectable liver cancer and advanced kidney cancer. In the United States,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approved for the treatment of patients with locally recurrent or metastatic, progressive, differentiated thyroid carcinoma refractory to radioactive iodine treatment. Under the related agreements, we are currently funding 50% of mutually agreed R&amp;D costs worldwide, excluding Japan. In the United States, we co-promote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with Bayer and share equally in the profits or losses. We contribute half of the overall number of sales force personnel required to market and promote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half of the medical science liaisons to support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In the United States, each party bears its own sales force and medical science liaison expenses which are not included in the calculation of the profits or losses of the collaboration. Outside of the United States, excluding Japan, Bayer manages all commercialization activities and incurs all of the sales and marketing expenditures, and we reimburse Bayer for half of those expenditures. In all countries outside of the United States, except Japan, we receive 50% of net profits on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after deducting certain Bayer-related costs.</w:t>
      </w:r>
    </w:p>
    <w:p>
      <w:pPr>
        <w:spacing w:after="0" w:line="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collaboration with Bayer will terminate when patents expire that were issued in connection with product candidates discovered under the agreements, or at the time when neither we nor Bayer are entitled to profit sharing under the agreement, whichever happens last.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578" w:right="239" w:bottom="1440" w:gutter="0" w:footer="0" w:header="0"/>
        </w:sectPr>
      </w:pPr>
    </w:p>
    <w:bookmarkStart w:id="100" w:name="page101"/>
    <w:bookmarkEnd w:id="100"/>
    <w:p>
      <w:pPr>
        <w:jc w:val="both"/>
        <w:ind w:firstLine="405"/>
        <w:spacing w:after="0" w:line="224" w:lineRule="auto"/>
        <w:rPr>
          <w:sz w:val="20"/>
          <w:szCs w:val="20"/>
          <w:color w:val="auto"/>
        </w:rPr>
      </w:pPr>
      <w:r>
        <w:rPr>
          <w:rFonts w:ascii="Times New Roman" w:cs="Times New Roman" w:eastAsia="Times New Roman" w:hAnsi="Times New Roman"/>
          <w:sz w:val="18"/>
          <w:szCs w:val="18"/>
          <w:color w:val="auto"/>
        </w:rPr>
        <w:t>Amgen is acting as an agent under the collaboration and as such, revenue is derived by calculating net sales of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third-party customers and deducting the cost of goods sold, distribution costs, marketing costs, phase 4 clinical trial costs, allocable overhead costs and certain other costs. During the year ended December 31, 2014 and the three months ended December 31, 2013, Amgen recorded a net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collaboration profit of $324 million and $78 million, respectively which were recognized as Other revenues in the Consolidated Statements of Income. In addition, during the year ended December 31, 2014 and the three months ended December 31, 2013, net R&amp;D expenses related to the collaboration of $40 million and $13 million, respectively, were recognized in the 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to the collaborations discussed above, we have various others that are not individually significant to our business at this time. Pursuant to the terms of those agreements, we may be required to pay or we may receive additional amounts upon the achievement of various development and commercial milestones which in the aggregate could be significant. We may also incur or have reimbursed to us significant R&amp;D costs if the related product candidate were to advance to late stage clinical trials. In addition, if any products related to these collaborations are approved for sale, we may be required to pay or we may receive significant royalties on future sales. The payment of these amounts, however, is contingent upon the occurrence of various future events, which have a high degree of uncertainty of occurring.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48" w:lineRule="exact"/>
        <w:rPr>
          <w:sz w:val="20"/>
          <w:szCs w:val="20"/>
          <w:color w:val="auto"/>
        </w:rPr>
      </w:pPr>
    </w:p>
    <w:p>
      <w:pPr>
        <w:jc w:val="both"/>
        <w:ind w:firstLine="432"/>
        <w:spacing w:after="0" w:line="278" w:lineRule="auto"/>
        <w:rPr>
          <w:sz w:val="20"/>
          <w:szCs w:val="20"/>
          <w:color w:val="auto"/>
        </w:rPr>
      </w:pPr>
      <w:r>
        <w:rPr>
          <w:rFonts w:ascii="Times New Roman" w:cs="Times New Roman" w:eastAsia="Times New Roman" w:hAnsi="Times New Roman"/>
          <w:sz w:val="17"/>
          <w:szCs w:val="17"/>
          <w:color w:val="auto"/>
        </w:rPr>
        <w:t>We own a 50% interest in K-A, a corporation formed in 1984 with Kirin Holdings Company, Limited (Kirin) for the development and commercialization of certain products based on advanced biotechnology. All of our rights to manufacture and market certain products including pegfilgrastim, granulocyte colony-stimulating factor, darbepoetin alfa, recombinant human erythropoietin and romiplostim are pursuant to exclusive licenses from K-A, which we currently market under the brand names Neulasta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NEUPOGEN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/GRANULOKINE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Aranesp</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EPOGEN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and Nplate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respectively.</w:t>
      </w: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account for our interest in K-A using the equity method and include our share of K-A’s profits or losses in Selling, general and administrative expense in the Consolidated Statements of Income. Our share of K-A’s profits and losses was a profit of $30 million and losses of $6 million and $24 million, for the years ended December 31, 2014, 2013 and 2012, respectively. The carrying value of our equity method investment in K-A was approximately $0.4 billion and $0.3 billion, as of December 31, 2014 and 2013, respectively, and is included in noncurrent Other assets in the Consolidated Balance Sheets.</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K-A’s revenues consist of royalty income related to its licensed technology rights. K-A receives royalty income from us, as well as from Kirin and Johnson &amp; Johnson under separate product license contracts for certain geographic areas outside the United States. During the years ended December 31, 2014, 2013 and 2012, K-A earned royalties from us of $301 million, $272 million and $274 million, respectively. These amounts are included in Cost of sales in the Consolidated Statements of Income.</w:t>
      </w:r>
    </w:p>
    <w:p>
      <w:pPr>
        <w:spacing w:after="0" w:line="9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K-A’s expenses consist primarily of costs related to R&amp;D activities conducted on its behalf by Amgen and Kirin. K-A pays Amgen and Kirin for such services at negotiated rates. During the years ended December 31, 2014, 2013 and 2012, we earned revenues from K-A of $119 million, $117 million and $115 million, respectively, for certain R&amp;D activities performed on K-A’s behalf. These amounts are recognized as Other revenues in the Consolidated Statements of Income. We may also receive several individually immaterial milestones aggregating $85 million upon the achievement of various substantive success-based development and regulatory approval milestones contingent upon the occurrence of various future events, nearly half of which have a high degree of uncertainty of occurring. During the years ended December 31, 2014, 2013 and 2012, we recorded cost recoveries from K-A of $108 million, $218 million and $142 million, respectively, related to certain third-party costs. These amounts are included in Research and development expense in the Consolidated Statements of Income.</w:t>
      </w:r>
    </w:p>
    <w:p>
      <w:pPr>
        <w:spacing w:after="0" w:line="10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and 2013, we owed K-A $17 million and K-A owed us $22 million, respectively, which are included in Accrued liabilities and Other current assets, respectively, in the Consolidated Balance Sheets.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580"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9. Available-for-sale investments</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values of available-for-sale investments by type of security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3"/>
                <w:szCs w:val="13"/>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tcPr>
          <w:p>
            <w:pPr>
              <w:jc w:val="center"/>
              <w:ind w:left="321"/>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3"/>
                <w:szCs w:val="13"/>
                <w:color w:val="auto"/>
              </w:rPr>
            </w:pPr>
          </w:p>
        </w:tc>
        <w:tc>
          <w:tcPr>
            <w:tcW w:w="120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and other</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26,665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26,588</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26,763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4"/>
                <w:szCs w:val="24"/>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tcPr>
          <w:p>
            <w:pPr>
              <w:jc w:val="center"/>
              <w:ind w:left="321"/>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3"/>
                <w:szCs w:val="13"/>
                <w:color w:val="auto"/>
              </w:rPr>
            </w:pPr>
          </w:p>
        </w:tc>
        <w:tc>
          <w:tcPr>
            <w:tcW w:w="120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and other</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r>
        <w:trPr>
          <w:trHeight w:val="243"/>
        </w:trPr>
        <w:tc>
          <w:tcPr>
            <w:tcW w:w="5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22,432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22,363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F-25</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76" w:right="2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t>The fair values of available-for-sale investments by classification in the Consolidated Balance Sheets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28"/>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in the Consolidated Balance Sheets</w:t>
            </w:r>
          </w:p>
        </w:tc>
        <w:tc>
          <w:tcPr>
            <w:tcW w:w="420" w:type="dxa"/>
            <w:vAlign w:val="bottom"/>
          </w:tcPr>
          <w:p>
            <w:pPr>
              <w:spacing w:after="0"/>
              <w:rPr>
                <w:sz w:val="19"/>
                <w:szCs w:val="19"/>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3,266</w:t>
            </w:r>
          </w:p>
        </w:tc>
      </w:tr>
      <w:tr>
        <w:trPr>
          <w:trHeight w:val="243"/>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15,596</w:t>
            </w:r>
          </w:p>
        </w:tc>
      </w:tr>
      <w:tr>
        <w:trPr>
          <w:trHeight w:val="27"/>
        </w:trPr>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 noncurrent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4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3,406</w:t>
            </w:r>
          </w:p>
        </w:tc>
      </w:tr>
      <w:tr>
        <w:trPr>
          <w:trHeight w:val="27"/>
        </w:trPr>
        <w:tc>
          <w:tcPr>
            <w:tcW w:w="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26,732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22,363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table above excludes cash of $438 million and $539 million as of December 31, 2014 and 2013, respectively. In 2013, $2,881 million of marketable securities, $526 million of cash and cash equivalents and $4 million of related interest receivable were reclassified to Restricted investments on our Consolidated Balance Sheet. Restricted investments in the table above excludes interest receivable of $6 million as of December 31, 2013.</w:t>
      </w:r>
    </w:p>
    <w:p>
      <w:pPr>
        <w:spacing w:after="0" w:line="9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values of available-for-sale interest-bearing security investments by contractual maturity, except for mortgage- and asset-backed securities that do not have a single maturity date,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28"/>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420" w:type="dxa"/>
            <w:vAlign w:val="bottom"/>
          </w:tcPr>
          <w:p>
            <w:pPr>
              <w:spacing w:after="0"/>
              <w:rPr>
                <w:sz w:val="19"/>
                <w:szCs w:val="19"/>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6,799</w:t>
            </w:r>
          </w:p>
        </w:tc>
      </w:tr>
      <w:tr>
        <w:trPr>
          <w:trHeight w:val="243"/>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4,785</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three years through five years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6,057</w:t>
            </w:r>
          </w:p>
        </w:tc>
      </w:tr>
      <w:tr>
        <w:trPr>
          <w:trHeight w:val="243"/>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1,656</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ten years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2,971</w:t>
            </w: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26,588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22,268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realized gains totaled $149 million, $158 million and $186 million, respectively, and realized losses totaled $150 million, $83 million and $54 million, respectively. The cost of securities sold is based on the specific identification method.</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010202"/>
        </w:rPr>
        <w:t>The unrealized losses on available-for-sale investments and their related fair values were as follows (in millions):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75"/>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F-26</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3" w:name="page104"/>
    <w:bookmarkEnd w:id="10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1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and the intent to sell, or whether we will more likely than not be required to sell, the security before recovery of its amortized cost basis. Our assessment of whether a security is other-than-temporarily impaired could change in the future due to new developments or changes in assumptions related to any particular security. As of December 31, 2014 and 2013, we believe the costs basis for our available-for-sale investments were recoverable in all material aspects.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Inventories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5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57"/>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(dollar amounts in millions):</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4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5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 equipment</w:t>
            </w:r>
          </w:p>
        </w:tc>
        <w:tc>
          <w:tcPr>
            <w:tcW w:w="3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3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4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12,291</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gridSpan w:val="3"/>
            <w:vMerge w:val="restart"/>
          </w:tcPr>
          <w:p>
            <w:pPr>
              <w:ind w:left="1020"/>
              <w:spacing w:after="0"/>
              <w:rPr>
                <w:sz w:val="20"/>
                <w:szCs w:val="20"/>
                <w:color w:val="auto"/>
              </w:rPr>
            </w:pPr>
            <w:r>
              <w:rPr>
                <w:rFonts w:ascii="Times New Roman" w:cs="Times New Roman" w:eastAsia="Times New Roman" w:hAnsi="Times New Roman"/>
                <w:sz w:val="18"/>
                <w:szCs w:val="18"/>
                <w:color w:val="auto"/>
              </w:rPr>
              <w:t>F-27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20" w:type="dxa"/>
            <w:vAlign w:val="bottom"/>
          </w:tcPr>
          <w:p>
            <w:pPr>
              <w:spacing w:after="0"/>
              <w:rPr>
                <w:sz w:val="24"/>
                <w:szCs w:val="24"/>
                <w:color w:val="auto"/>
              </w:rPr>
            </w:pPr>
          </w:p>
        </w:tc>
        <w:tc>
          <w:tcPr>
            <w:tcW w:w="338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3" w:right="239" w:bottom="1440" w:gutter="0" w:footer="0" w:header="0"/>
        </w:sectPr>
      </w:pPr>
    </w:p>
    <w:bookmarkStart w:id="104" w:name="page105"/>
    <w:bookmarkEnd w:id="104"/>
    <w:p>
      <w:pPr>
        <w:ind w:firstLine="43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we recognized depreciation and amortization charges associated with our property, plant and equipment of $716 million, $644 million and $689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millions):</w:t>
      </w:r>
    </w:p>
    <w:p>
      <w:pPr>
        <w:spacing w:after="0" w:line="367"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38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During the years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12,662</w:t>
            </w:r>
          </w:p>
        </w:tc>
      </w:tr>
      <w:tr>
        <w:trPr>
          <w:trHeight w:val="270"/>
        </w:trPr>
        <w:tc>
          <w:tcPr>
            <w:tcW w:w="73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Goodwill related to acquisitions of businesses </w:t>
            </w:r>
            <w:r>
              <w:rPr>
                <w:rFonts w:ascii="Times New Roman" w:cs="Times New Roman" w:eastAsia="Times New Roman" w:hAnsi="Times New Roman"/>
                <w:sz w:val="25"/>
                <w:szCs w:val="25"/>
                <w:color w:val="auto"/>
                <w:vertAlign w:val="superscript"/>
              </w:rPr>
              <w:t>(1)</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2,397</w:t>
            </w: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 adjustments</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14,788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14,968</w:t>
            </w:r>
          </w:p>
        </w:tc>
      </w:tr>
      <w:tr>
        <w:trPr>
          <w:trHeight w:val="27"/>
        </w:trPr>
        <w:tc>
          <w:tcPr>
            <w:tcW w:w="7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7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540" w:right="20" w:hanging="208"/>
        <w:spacing w:after="0" w:line="218" w:lineRule="auto"/>
        <w:tabs>
          <w:tab w:leader="none" w:pos="54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Composed of goodwill recognized on the acquisition dates of business combinations and subsequent adjustments to these amounts resulting from changes to the acquisition date fair values of net assets acquired in the business combinations recorded during their respective measurement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6,671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18,625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Developed product technology rights consist of rights related to marketed products acquired in business combinations. Licensing rights are composed primarily of intangible assets acquired as part of the acquisition of Onyx (see Note 3, Business combinations),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 including licenses to filgrastim and pegfilgrastim acquired from Roche (see Note 3, Business combinations). Marketing-related intangible assets also includes $275 million paid to Glaxo during the year ended December 31, 2014, for the early termination of our agreement with them to commercialize denosumab in certain geographic areas (see Note 7, Collaborative arrangements). This transaction represents the reacquisition of a previously shared economic interest in geographic territories where we were already marketing denosumab and accordingly was accounted for as an acquisition of identifiable intangible assets.</w:t>
      </w:r>
    </w:p>
    <w:p>
      <w:pPr>
        <w:spacing w:after="0" w:line="108"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IPR&amp;D consists of R&amp;D projects acquired in a business combination which are not complete due to remaining technological risks and/or lack of receipt of the required regulatory approvals. These projects include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treatment for multiple myeloma being developed for use outside the U.S. (excluding Japan) acquired in the Onyx transaction (see Note 3, Business combinations); AMG 416, a treatment for secondary hyperparathyroidism in patients with CKD who are on dialysis, and talimogene laherparepvec, a treatment for metastatic melanoma. In December 2014, we announced that the FDA has granted approval of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(blinatumomab) for the treatment of patients with Ph- relapsed or refractory B-cell precursor ALL. As a result, the $408 million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580" w:right="239" w:bottom="1440" w:gutter="0" w:footer="0" w:header="0"/>
        </w:sectPr>
      </w:pPr>
    </w:p>
    <w:bookmarkStart w:id="105" w:name="page106"/>
    <w:bookmarkEnd w:id="105"/>
    <w:p>
      <w:pPr>
        <w:jc w:val="both"/>
        <w:spacing w:after="0" w:line="233" w:lineRule="auto"/>
        <w:rPr>
          <w:sz w:val="20"/>
          <w:szCs w:val="20"/>
          <w:color w:val="auto"/>
        </w:rPr>
      </w:pPr>
      <w:r>
        <w:rPr>
          <w:rFonts w:ascii="Times New Roman" w:cs="Times New Roman" w:eastAsia="Times New Roman" w:hAnsi="Times New Roman"/>
          <w:sz w:val="18"/>
          <w:szCs w:val="18"/>
          <w:color w:val="auto"/>
        </w:rPr>
        <w:t>carrying value of BLINCYTO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we acquired in the acquisition of Micromet (see Note 3, Business combinations), was reclassified from IPR&amp;D to Developed product technology rights during the fourth quarter of 2014, and is being amortized over its estimated useful life. In addition, during the year ended December 31, 2014, we recorded an impairment charge of $46 million for an IPR&amp;D outlicensing program acquired in the acquisition of Micromet (see Note 3, Business combinations).</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2014, 2013 and 2012, we recognized amortization charges associated with our finite-lived intangible assets, included primarily in Cost of sales in the Consolidated Statements of Income, of $1,376 million, $642 million and $397 million, respectively. The total estimated amortization for each of the next five years for our intangible assets is $1.4 billion, $1.3 billion, $1.2 billion, $1.0 billion and $957 million in 2015, 2016, 2017, 2018 and 2019,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liabilities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deductions</w:t>
            </w:r>
          </w:p>
        </w:tc>
        <w:tc>
          <w:tcPr>
            <w:tcW w:w="486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1,003</w:t>
            </w:r>
          </w:p>
        </w:tc>
      </w:tr>
      <w:tr>
        <w:trPr>
          <w:trHeight w:val="27"/>
        </w:trPr>
        <w:tc>
          <w:tcPr>
            <w:tcW w:w="4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Clinical development costs</w:t>
            </w:r>
          </w:p>
        </w:tc>
        <w:tc>
          <w:tcPr>
            <w:tcW w:w="3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payable</w:t>
            </w:r>
          </w:p>
        </w:tc>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4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returns reserve</w:t>
            </w:r>
          </w:p>
        </w:tc>
        <w:tc>
          <w:tcPr>
            <w:tcW w:w="37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41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860" w:type="dxa"/>
            <w:vAlign w:val="bottom"/>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4140" w:type="dxa"/>
            <w:vAlign w:val="bottom"/>
          </w:tcPr>
          <w:p>
            <w:pPr>
              <w:spacing w:after="0"/>
              <w:rPr>
                <w:sz w:val="24"/>
                <w:szCs w:val="24"/>
                <w:color w:val="auto"/>
              </w:rPr>
            </w:pPr>
          </w:p>
        </w:tc>
        <w:tc>
          <w:tcPr>
            <w:tcW w:w="4860" w:type="dxa"/>
            <w:vAlign w:val="bottom"/>
            <w:gridSpan w:val="2"/>
          </w:tcPr>
          <w:p>
            <w:pPr>
              <w:jc w:val="right"/>
              <w:ind w:right="3048"/>
              <w:spacing w:after="0"/>
              <w:rPr>
                <w:sz w:val="20"/>
                <w:szCs w:val="20"/>
                <w:color w:val="auto"/>
              </w:rPr>
            </w:pPr>
            <w:r>
              <w:rPr>
                <w:rFonts w:ascii="Times New Roman" w:cs="Times New Roman" w:eastAsia="Times New Roman" w:hAnsi="Times New Roman"/>
                <w:sz w:val="18"/>
                <w:szCs w:val="18"/>
                <w:color w:val="auto"/>
              </w:rPr>
              <w:t>F-29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14. Financing arrangements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values and the fixed contractual coupon rates of our long-term borrowings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1.875% notes due 2014 (1.875% 2014 Notes)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4.85% notes due 2014 (4.85% 2014 Notes)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2.30% notes due 2016 (2.30% 2016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2.50% notes due 2016 (2.50% 2016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Floating Rate Notes due 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 notes due 2017 (1.25% 2017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notes due 2017 (2.125% 2017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5.85% notes due 2017 (5.85% 2017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6.15% notes due 2018 (6.15% 2018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Master Repurchase Agreement obligation due 2018</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due 2018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4.375% euro-denominated notes due 2018 (4.375% 2018 euro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Floating Rate Notes due 2019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2.20% notes due 2019 (2.20% 2019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5.70% notes due 2019 (5.70% 2019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2.125% euro-denominated notes due 2019 (2.125% 2019 euro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4.50% notes due 2020 (4.50% 2020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3.45% notes due 2020 (3.45% 2020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4.10% notes due 2021 (4.10% 2021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3.875% notes due 2021 (3.875% 2021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3.625% notes due 2022 (3.625% 2022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3.625% notes due 2024 (3.625% 2024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5.50% pound-sterling-denominated notes due 2026 (5.50% 2026 pound sterling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4.00% pound-sterling-denominated notes due 2029 (4.00% 2029 pound sterling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6.375% notes due 2037 (6.375% 2037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6.90% notes due 2038 (6.90% 2038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6.40% notes due 2039 (6.40% 2039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 notes due 2040 (5.75% 2040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4.95% notes due 2041 (4.95% 2041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5.15% notes due 2041 (5.15% 2041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5.65% notes due 2042 (5.65% 2042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notes due 2043 (5.375% 2043 Notes)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30,715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32,128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noncurrent debt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29,623</w:t>
            </w: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we repaid $5.6 billion of debt, including the Master Repurchase Agreement, the 1.875% 2014 Notes, the 4.85% 2014 Notes, $500 million of principal on our Term Loan Credit Facility and $5 million of Other notes. During the year ended December 31, 2013, our</w:t>
      </w:r>
    </w:p>
    <w:p>
      <w:pPr>
        <w:jc w:val="both"/>
        <w:spacing w:after="0" w:line="255" w:lineRule="auto"/>
        <w:rPr>
          <w:sz w:val="20"/>
          <w:szCs w:val="20"/>
          <w:color w:val="auto"/>
        </w:rPr>
      </w:pPr>
      <w:r>
        <w:rPr>
          <w:rFonts w:ascii="Times New Roman" w:cs="Times New Roman" w:eastAsia="Times New Roman" w:hAnsi="Times New Roman"/>
          <w:sz w:val="18"/>
          <w:szCs w:val="18"/>
          <w:color w:val="auto"/>
        </w:rPr>
        <w:t>0.375% 2013 Convertible Notes matured/converted, and the $2.5 billion principal amount was settled in cash. We also repaid $742 million of convertible debt assumed in the acquisition of Onyx, $125 million of principal on our Term Loan Credit Facility and $4 million of Other notes. During the year ended December 31, 2012, we repaid $123 million of Other notes.</w:t>
      </w:r>
    </w:p>
    <w:p>
      <w:pPr>
        <w:sectPr>
          <w:pgSz w:w="11900" w:h="16838" w:orient="portrait"/>
          <w:cols w:equalWidth="0" w:num="1">
            <w:col w:w="11420"/>
          </w:cols>
          <w:pgMar w:left="240" w:top="576"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420"/>
          </w:cols>
          <w:pgMar w:left="240" w:top="576" w:right="2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Debt issuances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issued debt and debt securities in various offerings during the three years ended December 31, 2014, including:</w:t>
      </w:r>
    </w:p>
    <w:p>
      <w:pPr>
        <w:spacing w:after="0" w:line="144" w:lineRule="exact"/>
        <w:rPr>
          <w:sz w:val="20"/>
          <w:szCs w:val="20"/>
          <w:color w:val="auto"/>
        </w:rPr>
      </w:pPr>
    </w:p>
    <w:p>
      <w:pPr>
        <w:jc w:val="both"/>
        <w:ind w:left="740" w:hanging="327"/>
        <w:spacing w:after="0" w:line="255"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issued $4.5 billion aggregate principal amount of notes, comprised of the Floating Rate Notes due 2017, the 1.25% 2017 Notes, the Floating Rate Notes due 2019, the 2.20% 2019 Notes and the 3.625% 2024 Notes. The Floating Rate Notes due in 2017 and 2019 bear interest equal to three-month London Interbank Offered Rates (LIBOR) plus 0.38% and three-month LIBOR plus 0.60%, respectively, and are not subject to redemption at our option. The fixed rate notes that were issued may be redeemed at any time at our option, in whole or in part, at the principal amount of the notes being redeemed plus accrued and unpaid interest and, except as discussed below, a make-whole amount, as defined. The 2.20% 2019 Notes and 3.625% 2024 Notes may be redeemed without payment of a make-whole amount if they are redeemed on or after one month or three months, respectively, prior to their maturity dates. In the event of a change-in-control triggering event, as defined, we may be required to purchase all or a portion of the notes at a price equal to 101% of the principal amount of the notes plus accrued and unpaid interest.</w:t>
      </w:r>
    </w:p>
    <w:p>
      <w:pPr>
        <w:spacing w:after="0" w:line="104"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issued $8.1 billion of debt in connection with the acquisition of Onyx, comprised of obligations under a Master Repurchase Agreement and a Term Loan.</w:t>
      </w:r>
    </w:p>
    <w:p>
      <w:pPr>
        <w:spacing w:after="0" w:line="80"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we issued $5.0 billion aggregate principal amount of notes, comprised of the 2.125% 2017 Notes, the 2.125% 2019 euro Notes (€675 million aggregate principal amount), the 3.625% 2022 Notes, the 4.00% 2029 pound sterling Notes (£700 million aggregate principal amount) and the 5.375% 2043 Notes.</w:t>
      </w:r>
    </w:p>
    <w:p>
      <w:pPr>
        <w:spacing w:after="0" w:line="9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Debt issuance costs incurred in connection with these debt issuances in 2014, 2013 and 2012 totaled $18 million, $46 million and $25 million, respectively. These debt issuance costs are being amortized over the respective lives of the debt, and the related charge is included in Interest expense, net, in the Consolidated Statements of Income.</w:t>
      </w:r>
    </w:p>
    <w:p>
      <w:pPr>
        <w:spacing w:after="0" w:line="9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All of our notes, other than our Floating Rate Notes and Other notes, may be redeemed at any time at our option, in whole or in part, at the principal amount of the notes being redeemed plus accrued interest and, except for specified time periods described above regarding the 2.20% 2019 Notes and 3.625% 2024 Notes, a make-whole amount, as defined. In addition, except with respect to our Other notes, in the event of a change-in-control triggering event, as defined, we may be required to purchase for cash all or a portion of these notes at a price equal to 101% of the principal amount of the notes plus accrued interest.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Repurchase Agreement</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entered into a Master Repurchase Agreement (Repurchase Agreement) pursuant to which Amgen sold 34,097 Class A preferred shares of one of its wholly-owned subsidiaries, ATL Holdings, on September 30, 2013. Pursuant to the Repurchase Agreement, we were obligated to repurchase the Class A preferred shares from the counterparties for the aggregate sale price of $3.1 billion, plus any accrued and unpaid payment obligations, no later than September 28, 2018. On May 22, 2014, we repurchased the shares for the aggregate sale price. While outstanding, we were obligated to make payments to the counterparties based on the sale price of the preferred shares at a floating interest rate based on the LIBOR plus 1.1%. The obligation to repurchase the preferred shares was accounted for as Long-term debt on our Consolidated Balance Sheet.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October 1, 2013, we borrowed $5.0 billion under a Term Loan Credit Facility which bears interest at a floating rate based on LIBOR plus additional interest, initially 1%, which can vary based on the credit ratings assigned to our long-term debt by Standard &amp; Poor’s Financial Services LLC (S&amp;P) and Moody’s Investor Service, Inc. (Moody’s). A total of $125 million of the principal amount of the loan is to be repaid at the end of each quarter, with the balance due on October 1, 2018. The outstanding balance of this loan may be prepaid in whole or in part at any time without penalty. This credit facility includes the same financial covenant as our revolving credit facility with respect to our level of borrowings in relation to our equity, as defined.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2006, we issued $2.5 billion principal amount of 0.375% 2013 Convertible Notes at par. The conversion value was payable in: (i) cash equal to the lesser of the principal amount of the note or the conversion value, as defined, and (ii) cash, shares of our common stock, or a combination of cash and shares of our common stock, at our option, to the extent the conversion value exceeded the principal amount of the note (the excess conversion value). In February 2013, our 0.375% 2013 Convertible Notes matured/converted, and accordingly, the $2.5 billion principal amount was settled in cash. We also elected to pay the note holders who converted their notes $99 million of cash for the excess conversion value, as allowed by the original terms of the notes.</w:t>
      </w:r>
    </w:p>
    <w:p>
      <w:pPr>
        <w:spacing w:after="0" w:line="1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0.375% 2013 Convertible Notes, we purchased a convertible note hedge. The convertible note hedge allowed us to receive shares of our common stock and/or cash from the counterparty to the transaction equal to the amounts of common stock and/or cash related to the excess conversion value that we would issue and/or pay to the holders of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578" w:right="2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0.375% 2013 Convertible Notes upon conversion. As a result of the conversion of the 0.375% 2013 Convertible Notes, we received $99 million of cash from the counterparty to offset the corresponding amount paid to the note holders.</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May 1, 2013, warrants to acquire 32 million shares of our common stock at an exercise price of $104.80 originally sold in connection with the issuance of the 0.375% 2013 Convertible Notes were exercised resulting in a net cash payment of $100 million.</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Because the convertible note hedges and warrants could have been settled at our option in cash or shares of our common stock, and these contracts met all of the applicable criteria for equity classification under the applicable accounting standards, the cost of the convertible note hedges, the net proceeds from the sale of the warrants and the settlement of these contracts were classified in Stockholders’ equity in the Consolidated Balance Sheets. In addition, because both of these contracts are classified in Stockholders’ equity and were indexed to our common stock, they were not accounted for as derivatives.</w:t>
      </w:r>
    </w:p>
    <w:p>
      <w:pPr>
        <w:spacing w:after="0" w:line="9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Because these convertible notes were cash settleable, their debt and equity components were bifurcated and accounted for separately. The discounted carrying value of the debt component resulting from the bifurcation was accreted back to the principal amount over the period the notes were outstanding, resulting in the recognition of non-cash interest expense. The total aggregate amount repaid, including the amount related to the debt discount, is included in Cash flows from financing activities in the Consolidated Statement of Cash Flows. After giving effect to this bifurcation, the effective interest rate on the 0.375% 2013 Convertible Notes was 6.35%. For the years ended December 31, 2013 and 2012, total interest expenses for the 0.375% 2013 Convertibles Notes were $13 million and $151 million, respectively, including non-cash interest expenses of $12 million and $142 million, respectively. The carrying amount of the equity component of this debt remains at $829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notes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Other notes include our notes due in 2097 with a carrying value of $100 million and debt assumed in the acquisition of MN which totaled $5 million at December 31, 2013.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 debt, we entered into interest rate swap contracts that effectively converted a fixed-rate interest coupon for certain of our debt issuances to a floating LIBOR-based coupon over the life of the respective note. These interest rate swap contracts qualified and are designated as fair value hedges. As of December 31, 2014, we had $6.65 billion notional amount of interest rate swap contracts outstanding, including $2.25 billion and $4.4 billion notional amounts of contracts which were entered into during the years ended December 31, 2014 and 2013, respectively. The effective interest rates on these notes after giving effect to the related interest rate swap contracts and the related notional amounts of the contracts were as follows as of December 31, 2014 (dollar amounts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Originating during year ended December 31, 2014</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4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2017 Notes</w:t>
            </w:r>
          </w:p>
        </w:tc>
        <w:tc>
          <w:tcPr>
            <w:tcW w:w="3560" w:type="dxa"/>
            <w:vAlign w:val="bottom"/>
            <w:tcBorders>
              <w:bottom w:val="single" w:sz="8" w:color="CCEEFF"/>
            </w:tcBorders>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+ 0.4%</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2.20% 2019 Notes</w:t>
            </w:r>
          </w:p>
        </w:tc>
        <w:tc>
          <w:tcPr>
            <w:tcW w:w="356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+ 0.6%</w:t>
            </w:r>
          </w:p>
        </w:tc>
        <w:tc>
          <w:tcPr>
            <w:tcW w:w="660" w:type="dxa"/>
            <w:vAlign w:val="bottom"/>
          </w:tcPr>
          <w:p>
            <w:pPr>
              <w:spacing w:after="0"/>
              <w:rPr>
                <w:sz w:val="21"/>
                <w:szCs w:val="21"/>
                <w:color w:val="auto"/>
              </w:rPr>
            </w:pPr>
          </w:p>
        </w:tc>
        <w:tc>
          <w:tcPr>
            <w:tcW w:w="2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Originating during year ended December 31, 2013</w:t>
            </w: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440" w:type="dxa"/>
            <w:vAlign w:val="bottom"/>
            <w:vMerge w:val="continue"/>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4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3.45% 2020 Notes</w:t>
            </w:r>
          </w:p>
        </w:tc>
        <w:tc>
          <w:tcPr>
            <w:tcW w:w="3560" w:type="dxa"/>
            <w:vAlign w:val="bottom"/>
            <w:tcBorders>
              <w:bottom w:val="single" w:sz="8" w:color="CCEEFF"/>
            </w:tcBorders>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+ 1.1%</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4.10% 2021 Notes</w:t>
            </w:r>
          </w:p>
        </w:tc>
        <w:tc>
          <w:tcPr>
            <w:tcW w:w="356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+ 1.7%</w:t>
            </w:r>
          </w:p>
        </w:tc>
        <w:tc>
          <w:tcPr>
            <w:tcW w:w="660" w:type="dxa"/>
            <w:vAlign w:val="bottom"/>
          </w:tcPr>
          <w:p>
            <w:pPr>
              <w:spacing w:after="0"/>
              <w:rPr>
                <w:sz w:val="21"/>
                <w:szCs w:val="21"/>
                <w:color w:val="auto"/>
              </w:rPr>
            </w:pPr>
          </w:p>
        </w:tc>
        <w:tc>
          <w:tcPr>
            <w:tcW w:w="2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3.875% 2021 Notes</w:t>
            </w:r>
          </w:p>
        </w:tc>
        <w:tc>
          <w:tcPr>
            <w:tcW w:w="3560" w:type="dxa"/>
            <w:vAlign w:val="bottom"/>
            <w:tcBorders>
              <w:bottom w:val="single" w:sz="8" w:color="CCEEFF"/>
            </w:tcBorders>
            <w:gridSpan w:val="2"/>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+ 2.0%</w:t>
            </w:r>
          </w:p>
        </w:tc>
        <w:tc>
          <w:tcPr>
            <w:tcW w:w="66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3.625% 2022 Notes</w:t>
            </w:r>
          </w:p>
        </w:tc>
        <w:tc>
          <w:tcPr>
            <w:tcW w:w="356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w w:val="99"/>
              </w:rPr>
              <w:t>LIBOR + 1.6%</w:t>
            </w:r>
          </w:p>
        </w:tc>
        <w:tc>
          <w:tcPr>
            <w:tcW w:w="660" w:type="dxa"/>
            <w:vAlign w:val="bottom"/>
          </w:tcPr>
          <w:p>
            <w:pPr>
              <w:spacing w:after="0"/>
              <w:rPr>
                <w:sz w:val="21"/>
                <w:szCs w:val="21"/>
                <w:color w:val="auto"/>
              </w:rPr>
            </w:pPr>
          </w:p>
        </w:tc>
        <w:tc>
          <w:tcPr>
            <w:tcW w:w="2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previously had interest rate swap contracts with an aggregate notional amount of $3.6 billion outstanding with rates that ranged from LIBOR plus 0.3% to LIBOR plus 2.6%. Due to historically low interest rates, we terminated all of these swap contracts in May 2012. See Note 17, Derivative instruments.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580"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order to hedge our exposure to foreign currency exchange rate risk associated with certain of our long-term notes denominated in foreign currencies, we entered into cross-currency swap contracts. The terms of these contracts effectively convert the interest payments and principal repayment on our 2.125% 2019 euro Notes, 5.50% 2026 pound sterling Notes and 4.00% 2029 pound sterling Notes from euros/pounds sterling to U.S. dollars. These cross-currency swap contracts have been designated as cash flow hedges. For information regarding the terms of these contracts, see Note 17, Derivative instruments.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statements and other facilities</w:t>
      </w:r>
    </w:p>
    <w:p>
      <w:pPr>
        <w:spacing w:after="0" w:line="14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we have a commercial paper program that allows us to issue up to $2.5 billion of unsecured commercial paper to fund our working capital needs. At December 31, 2014 and 2013, we had no amounts outstanding under our commercial paper program.</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July 2014, we entered into a $2.5 billion syndicated, unsecured, revolving credit agreement which is available for general corporate purposes or as a liquidity backstop to our commercial paper program. This agreement amended and restated our previous revolving credit agreement on substantially similar terms. The commitments under the revolving credit agreement may be increased by up to $500 million with the agreement of the banks. Each bank which is a party to the agreement has an initial commitment term of five years. This term may be extended for up to two additional one-year periods with the agreement of the banks. Annual commitment fees for this agreement are 0.1% based on our current credit rating. Generally, we would be charged interest at LIBOR plus 0.9% for any amounts borrowed under this facility. As of December 31, 2014 and 2013, no amounts were outstanding under this facility.</w:t>
      </w:r>
    </w:p>
    <w:p>
      <w:pPr>
        <w:spacing w:after="0" w:line="1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February 2014, we filed a shelf registration statement with the SEC that allows us to issue unspecified amounts of debt securities; common stock; preferred stock; warrants to purchase debt securities, common stock, preferred stock or depository shares; rights to purchase common stock or preferred stock; securities purchase contracts; securities purchase units; and depository shares. Under this shelf registration statement, all of the securities available for issuance may be offered from time to time with terms to be determined at the time of issuance. This shelf registration statement expires in February 2017.</w:t>
      </w:r>
    </w:p>
    <w:p>
      <w:pPr>
        <w:spacing w:after="0" w:line="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1997, we established a $400 million medium-term note program under which medium-term debt securities may be offered from time to time with terms to be determined at the time of issuance. As of December 31, 2014 and 2013, no securities were outstanding under this medium-term note program.</w:t>
      </w:r>
    </w:p>
    <w:p>
      <w:pPr>
        <w:spacing w:after="0" w:line="8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Facility each include a financial covenant with respect to the level of our borrowings in relation to our equity, as defined. We were in compliance with all applicable covenants under these arrangements as of December 31, 2014.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 of long-term debt obligations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contractual maturities of all long-term debt obligations due subsequent to December 31, 2014, are as follows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2,250</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4,045</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16,230</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30,792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costs</w:t>
      </w:r>
    </w:p>
    <w:p>
      <w:pPr>
        <w:spacing w:after="0" w:line="1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Interest costs are expensed as incurred, except to the extent such interest is related to construction in progress, in which case interest is capitalized. Interest expense, net, for the years ended December 31, 2014, 2013 and 2012, was $1.1 billion, $1.0 billion and $1.1 billion, respectively. Interest costs capitalized for the years ended December 31, 2014, 2013 and 2012, were $18 million, $18 million and $26 million, respectively. Interest paid, including the ongoing impact and settlements of interest rate and cross currency swaps, during the years ended December 31, 2014, 2013 and 2012, totaled $1.1 billion, $1.1 billion and $0.5 billion,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57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under our stock repurchase program was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During the years ended December 31,</w:t>
            </w: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820" w:type="dxa"/>
            <w:vAlign w:val="bottom"/>
            <w:tcBorders>
              <w:bottom w:val="single" w:sz="8" w:color="auto"/>
            </w:tcBorders>
          </w:tcPr>
          <w:p>
            <w:pPr>
              <w:spacing w:after="0"/>
              <w:rPr>
                <w:sz w:val="22"/>
                <w:szCs w:val="22"/>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Dollars</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1,203</w:t>
            </w: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1,233</w:t>
            </w: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 repurchases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4,662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October 2014, our Board of Directors approved an increase in the stock repurchase authorization that resulted in $4.0 billion available under our stock repurchase program. As of December 31, 2014, $3.8 billion remained available under our stock repurchase program.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each of December 15, 2011, and March 15, July 19 and October 10, 2012, the Board of Directors declared quarterly cash dividends of $0.36 per share of common stock, which were paid on March 7, June 7, September 7 and December 7, 2012, respectively. On each of December 13, 2012, March 6, July 26, and October 16, 2013, the Board of Directors declared quarterly cash dividends of $0.47 per share of common stock, which were paid on March 7, June 7, September 6, and December 6, 2013, respectively. On each of December 13, 2013, March 5, July 25 and October 17, 2014, the Board of Directors declared quarterly cash dividends of $0.61 per share of common stock, which were paid on March 7, June 6, September 5, and December 5, 2014, respectively.</w:t>
      </w:r>
    </w:p>
    <w:p>
      <w:pPr>
        <w:spacing w:after="0" w:line="1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on December 17, 2014, the Board of Directors declared a quarterly cash dividend of $0.79 per share of common stock, which will be paid on March 6, 2015, to all stockholders of record as of the close of business on February 12, 2015.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576"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(AOCI)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hedges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2011</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Income tax expenses/benefits for unrealized gains and losses and the related reclassification adjustments to income for cash flow hedges were a $104 million expense and $74 million expense in 2014, a $34 million expense and $33 million benefit in 2013 and a $8 million expense and $49 million benefit in 2012, respectively. Income tax expenses/benefits for unrealized gains and losses and the related reclassification adjustments to income for available-for-sale securities were a $14 million expense and $0 million for 2014, a $105 million benefit and $28 million benefit in 2013 and a $87 million expense and $49 million benefit in 2012, respectively.</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reclassifications out of AOCI to earnings were as follows (in millions):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Amounts reclassified out of AOCI</w:t>
            </w:r>
          </w:p>
        </w:tc>
        <w:tc>
          <w:tcPr>
            <w:tcW w:w="54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120" w:type="dxa"/>
            <w:vAlign w:val="bottom"/>
            <w:vMerge w:val="restart"/>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Line item affected in the Statements of Income</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swap contract (losses) gains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interest rate contract losses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before income tax</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benefit (expense)</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F-35</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common stock, our authorized capital includes 5 million shares of preferred stock, $0.0001 par value. As of December 31, 2014 and 2013, no shares of preferred stock were issued or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6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 Valuations based on inputs that are unobservable and significant to the overall fair value measurement</w:t>
      </w:r>
    </w:p>
    <w:p>
      <w:pPr>
        <w:spacing w:after="0" w:line="17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578" w:right="239" w:bottom="1440" w:gutter="0" w:footer="0" w:header="0"/>
        </w:sectPr>
      </w:pPr>
    </w:p>
    <w:bookmarkStart w:id="113" w:name="page114"/>
    <w:bookmarkEnd w:id="113"/>
    <w:p>
      <w:pPr>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of each major class of the Company’s financial assets and liabilities measured at fair value on a recurring basis was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2014, using:</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Foreign and other</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Financial</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short-term interest bearing securities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51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27,170</w:t>
            </w:r>
          </w:p>
        </w:tc>
        <w:tc>
          <w:tcPr>
            <w:tcW w:w="0" w:type="dxa"/>
            <w:vAlign w:val="bottom"/>
          </w:tcPr>
          <w:p>
            <w:pPr>
              <w:spacing w:after="0"/>
              <w:rPr>
                <w:sz w:val="1"/>
                <w:szCs w:val="1"/>
                <w:color w:val="auto"/>
              </w:rPr>
            </w:pPr>
          </w:p>
        </w:tc>
      </w:tr>
      <w:tr>
        <w:trPr>
          <w:trHeight w:val="67"/>
        </w:trPr>
        <w:tc>
          <w:tcPr>
            <w:tcW w:w="5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 a</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business combination</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F-37</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2013, using:</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Foreign and other</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Financial</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5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business combinations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7"/>
        </w:trPr>
        <w:tc>
          <w:tcPr>
            <w:tcW w:w="51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our U.S. Treasury securities, money market mutual funds and equity securities are based on quoted market prices in active markets with no valuation adjustment.</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or equivalent by S&amp;P, Moody's or Fitch, Inc. (Fitch); and our corporate debt securities portfolio has a weighted-average credit rating of BBB+ or equivalent by S&amp;P or Moody's and A- by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residential mortgage-, other mortgage- and asset-backed securities portfolio is composed entirely of senior tranches, with credit ratings of AAA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724" w:right="239" w:bottom="1440" w:gutter="0" w:footer="0" w:header="0"/>
        </w:sectPr>
      </w:pPr>
    </w:p>
    <w:bookmarkStart w:id="115" w:name="page116"/>
    <w:bookmarkEnd w:id="115"/>
    <w:p>
      <w:pPr>
        <w:ind w:left="420"/>
        <w:spacing w:after="0"/>
        <w:rPr>
          <w:sz w:val="20"/>
          <w:szCs w:val="20"/>
          <w:color w:val="auto"/>
        </w:rPr>
      </w:pPr>
      <w:r>
        <w:rPr>
          <w:rFonts w:ascii="Times New Roman" w:cs="Times New Roman" w:eastAsia="Times New Roman" w:hAnsi="Times New Roman"/>
          <w:sz w:val="18"/>
          <w:szCs w:val="18"/>
          <w:color w:val="auto"/>
        </w:rPr>
        <w:t>We value our other short-term interest-bearing securities at amortized cost, which approximates fair value given their near term maturity dates.</w:t>
      </w:r>
    </w:p>
    <w:p>
      <w:pPr>
        <w:spacing w:after="0" w:line="14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LIBOR cash and swap rates and obligor credit default swap rates. In addition, inputs for our foreign currency option contracts also include implied volatility measures. These inputs, where applicable, are at commonly quoted intervals. See Note 17, Derivative instruments.</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17, Derivative instruments.</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contingent consideration obligations as a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The fair value measurements of these obligations are based on significant unobservable inputs related to product candidates acquired in the business combinations and are reviewed quarterly by management in our R&amp;D and commercial sales organizations. These inputs include, as applicable, estimated probabilities and timing of achieving specified regulatory and commercial milestones and estimated annual sales. Significant changes which increase or decrease the probabilities of achieving the related regulatory and commercial events, shorten or lengthen the time required to achieve such events, or increase or decrease estimated annual sales would result in corresponding increases or decreases in the fair values of these obligations, as applicable. Changes in fair values of contingent consideration obligations are recognized in Other operating expenses in the Consolidated Statements of Income.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carrying amounts of contingent consideration obligations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During the years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from Onyx acquisition</w:t>
            </w:r>
          </w:p>
        </w:tc>
        <w:tc>
          <w:tcPr>
            <w:tcW w:w="1140" w:type="dxa"/>
            <w:vAlign w:val="bottom"/>
          </w:tcPr>
          <w:p>
            <w:pPr>
              <w:spacing w:after="0"/>
              <w:rPr>
                <w:sz w:val="21"/>
                <w:szCs w:val="21"/>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7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changes in valuation</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with former Proteolix, Inc. shareholders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to former BioVex Group, Inc. shareholders</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7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BioVex Group, Inc. (BioVex) in March 2011, we were obligated to pay its former shareholders up to $575 million of additional consideration contingent upon achieving separate regulatory and sales-related milestones with regard to talimogene laherparepvec, which was acquired in the acquisition. In July 2014, we submitted a Biologics License Application in the United States for regionally and distantly metastatic melanoma. In September 2014, we submitted a MAA to the EMA for the treatment of adults with regionally and distantly metastatic melanoma. As a result of the U.S. filing, we made a milestone payment of $125 million to the former BioVex shareholders during the fourth quarter of 2014. The remaining potential milestone payments include: (i) $125 million upon the first commercial sale in the United States following receipt of marketing approval for use of the product in specified patient populations, (ii) $125 million upon achievement of an agreed level of worldwide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580" w:right="239" w:bottom="1440" w:gutter="0" w:footer="0" w:header="0"/>
        </w:sectPr>
      </w:pPr>
    </w:p>
    <w:bookmarkStart w:id="116" w:name="page117"/>
    <w:bookmarkEnd w:id="116"/>
    <w:p>
      <w:pPr>
        <w:jc w:val="both"/>
        <w:spacing w:after="0" w:line="282" w:lineRule="auto"/>
        <w:rPr>
          <w:sz w:val="20"/>
          <w:szCs w:val="20"/>
          <w:color w:val="auto"/>
        </w:rPr>
      </w:pPr>
      <w:r>
        <w:rPr>
          <w:rFonts w:ascii="Times New Roman" w:cs="Times New Roman" w:eastAsia="Times New Roman" w:hAnsi="Times New Roman"/>
          <w:sz w:val="18"/>
          <w:szCs w:val="18"/>
          <w:color w:val="auto"/>
        </w:rPr>
        <w:t>sales within a specified period of time and (iii) up to $200 million of additional consideration of varying amounts upon achievement of certain other regulatory and sales-related milestones.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estimate the fair values of the obligations to the former shareholders of BioVex by using a combination of probability-adjusted discounted cash flows, option pricing techniques and a simulation model of expected annual sales. As a result of our quarterly review of the key assumptions during the years ended December 31, 2014 and 2013, the estimated aggregate fair value of the contingent consideration obligations increased by $6 million and $113 million in the years ended December 31, 2014 and 2013, respectively.</w:t>
      </w:r>
    </w:p>
    <w:p>
      <w:pPr>
        <w:spacing w:after="0" w:line="99"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We assumed contingent consideration obligations upon the acquisition of Onyx arising from Onyx's 2009 acquisition of Proteolix, Inc. These contingent consideration obligations were comprised of two separate milestone payments of $150 million each payable if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received specified marketing approvals for relapsed multiple myeloma on or before March 31, 2016, by each of the FDA and the EMA. See Note 3, Business combinations. In December 2014, we renegotiated the terms of these milestones and settled the contingent consideration obligations with the former shareholders of Proteolix, Inc. by agreeing to make a single payment of $225 million, which is currently expected to occur during the first quarter of 2015. Accordingly, this amount is shown as a deduction in the table above as there are no longer contingencies regarding the amounts of the obligations. We estimated the fair values of these contingent obligations each quarter by reviewing the key assumptions underlying the probability-adjusted discounted cash flows. During the year ended December 31, 2014, the fair value of these obligations decreased by $36 million. There was no significant change in the fair value of these contingent consideration obligations from the date of our acquisition of Onyx to December 31, 2013.</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levels, and there were no material remeasurements to fair value during the years ended December 31, 2014 and 2013, of assets and liabilities that are not measured at fair value on a recurring basis, except as discussed in Note 3, Business combinations, regarding the impairments of intangible assets, and Note 2, Restructuring and other cost savings initiatives.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fair values of cash equivalents approximate their carrying values due to the short-term nature of these financial instruments.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December 31, 2014 and 2013, the aggregate fair values of our long-term debt were $33.6 billion and $33.5 billion, respectively, and the carrying values were $30.7 billion and $32.1 billion,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 instruments</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 As of December 31, 2014, 2013 and 2012, we had open foreign currency forward contracts with notional amounts of $3.8 billion, $4.0 billion and $3.7 billion, respectively, and open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580" w:right="2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option contracts with notional amounts of $271 million, $516 million and $200 million, respectively. These foreign currency forward and option contracts, primarily euro based, have been designated as cash flow hedges, and accordingly, the effective portions of the unrealized gains and losses on these contracts are reported in AOCI in the Consolidated Balance Sheets and reclassified to earnings in the same periods during which the hedged transactions affect earnings.</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cross-currency swap contracts have been designated as cash flow hedges, and accordingly, the effective portions of the unrealized gains and losses on these contracts are reported in AOCI in the Consolidated Balance Sheets and reclassified to earnings in the same periods during which the hedged debt affects earnings.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notional amounts and interest rates of our cross-currency swaps are as follows (notional amounts in millions):</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500" w:type="dxa"/>
            <w:vAlign w:val="bottom"/>
            <w:tcBorders>
              <w:bottom w:val="single" w:sz="8" w:color="auto"/>
            </w:tcBorders>
          </w:tcPr>
          <w:p>
            <w:pPr>
              <w:spacing w:after="0"/>
              <w:rPr>
                <w:sz w:val="16"/>
                <w:szCs w:val="16"/>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Hedged notes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49"/>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5.50% 2026 pound sterling Notes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anticipated issuance of long-term fixed-rate debt, we occasionally enter into forward interest rate contracts in order to hedge the variability in cash flows due to changes in the applicable Treasury rate between the time we enter into these contracts and the time the related debt is issued. Gains and losses on such contracts, which are designated as cash flow hedges, are reported in AOCI in the Consolidated Balance Sheets and amortized into earnings over the lives of the associated debt issuances.</w:t>
      </w:r>
    </w:p>
    <w:p>
      <w:pPr>
        <w:spacing w:after="0" w:line="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effective portions of the unrealized gain/(loss) recognized in other comprehensive income for our derivative instruments designated as cash flow hedges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28"/>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360" w:type="dxa"/>
            <w:vAlign w:val="bottom"/>
          </w:tcPr>
          <w:p>
            <w:pPr>
              <w:spacing w:after="0"/>
              <w:rPr>
                <w:sz w:val="19"/>
                <w:szCs w:val="19"/>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40" w:type="dxa"/>
            <w:vAlign w:val="bottom"/>
          </w:tcPr>
          <w:p>
            <w:pPr>
              <w:spacing w:after="0"/>
              <w:rPr>
                <w:sz w:val="20"/>
                <w:szCs w:val="20"/>
                <w:color w:val="auto"/>
              </w:rPr>
            </w:pPr>
          </w:p>
        </w:tc>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locations in the Consolidated Statements of Income and the effective portions of the gain/(loss) reclassified out of AOCI into earnings for our derivative instruments designated as cash flow hedges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3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No portions of our cash flow hedge contracts are excluded from the assessment of hedge effectiveness, and the gains and losses of the ineffective portions of these hedging instruments were not material for the years ended December 31, 2014, 2013 and 2012. As of December 31, 2014, the amounts expected to be reclassified out of AOCI into earnings over the next 12 months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580" w:right="239" w:bottom="1440" w:gutter="0" w:footer="0" w:header="0"/>
        </w:sectPr>
      </w:pPr>
    </w:p>
    <w:bookmarkStart w:id="118" w:name="page119"/>
    <w:bookmarkEnd w:id="1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 approximately $161 million of net gains on our foreign currency and cross-currency swap contracts and approximately $1 million of losses on forward interest rate contracts.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During the year ended December 31, 2014, we entered into interest rate swap contracts with an aggregate notional amount of $2.25 billion with respect to our 1.25% 2017 Notes and our 2.20% 2019 Notes. The contracts have rates that range from three-month LIBOR plus 0.4% to three-month LIBOR plus 0.6%. During the year ended December 31, 2013, we entered into interest rate swap contracts with an aggregate notional amount of $4.4 billion with respect to our 3.45% 2020 Notes, 4.10% 2021 Notes, 3.875% 2021 Notes and 3.625% 2022 Notes. The contracts have rates that range from three-month LIBOR plus 1.1% to three-month LIBOR plus 2.0%.</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we previously had interest rate swap contracts outstanding with an aggregate notional amount of $3.6 billion with respect to our 4.85% 2014 Notes, 5.85% 2017 Notes, 6.15% 2018 Notes and 5.70% 2019 Notes with rates that ranged from LIBOR 0.3% to LIBOR plus 2.6%. Due to historically low interest rates, in May 2012 we terminated all of these contracts resulting in the receipt of $397 million from the counterparties, which was included in Net cash provided by operating activities in the Consolidated Statements of Cash Flows. This amount is being recognized in Interest expense, net, in the Consolidated Statements of Income over the remaining lives of the related debt issuances.</w:t>
      </w:r>
    </w:p>
    <w:p>
      <w:pPr>
        <w:spacing w:after="0" w:line="1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During the years ended December 31, 2014 and 2012, we included the unrealized losses on the hedged debt of $181 million and $20 million, respectively, in the same line item, Interest expense, net, in the Consolidated Statements of Income, as the offsetting unrealized gains of $181 million and $20 million, respectively, on the related interest rate swap agreements. During the year ended December 31, 2013 we included the unrealized gains on the hedged debt of $161 million in the same line item, Interest expense, net, in the Consolidated Statement of Income, as the offsetting unrealized losses of $161 million on the related interest rate swap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hedges</w:t>
      </w:r>
    </w:p>
    <w:p>
      <w:pPr>
        <w:spacing w:after="0" w:line="14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December 31, 2014, 2013 and 2012, the total notional amounts of these foreign currency forward contracts were $875 million, $999 million and $629 million, respectively.</w:t>
      </w:r>
    </w:p>
    <w:p>
      <w:pPr>
        <w:spacing w:after="0" w:line="9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location in the Consolidated Statements of Income and the amount of gain/(loss) recognized in earnings for our derivative instruments not designated as hedging instruments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20" w:type="dxa"/>
            <w:vAlign w:val="bottom"/>
            <w:tcBorders>
              <w:bottom w:val="single" w:sz="8" w:color="CCEEFF"/>
            </w:tcBorders>
          </w:tcPr>
          <w:p>
            <w:pPr>
              <w:spacing w:after="0"/>
              <w:rPr>
                <w:sz w:val="22"/>
                <w:szCs w:val="22"/>
                <w:color w:val="auto"/>
              </w:rPr>
            </w:pPr>
          </w:p>
        </w:tc>
        <w:tc>
          <w:tcPr>
            <w:tcW w:w="3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62"/>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gridSpan w:val="2"/>
            <w:vMerge w:val="restart"/>
          </w:tcPr>
          <w:p>
            <w:pPr>
              <w:ind w:left="1640"/>
              <w:spacing w:after="0"/>
              <w:rPr>
                <w:sz w:val="20"/>
                <w:szCs w:val="20"/>
                <w:color w:val="auto"/>
              </w:rPr>
            </w:pPr>
            <w:r>
              <w:rPr>
                <w:rFonts w:ascii="Times New Roman" w:cs="Times New Roman" w:eastAsia="Times New Roman" w:hAnsi="Times New Roman"/>
                <w:sz w:val="18"/>
                <w:szCs w:val="18"/>
                <w:color w:val="auto"/>
              </w:rPr>
              <w:t>F-42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t>The fair values of derivatives included in the Consolidated Balance Sheets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2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9"/>
                <w:szCs w:val="19"/>
                <w:color w:val="auto"/>
              </w:rPr>
            </w:pPr>
          </w:p>
        </w:tc>
        <w:tc>
          <w:tcPr>
            <w:tcW w:w="2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instruments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73"/>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instruments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derivatives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52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9"/>
                <w:szCs w:val="19"/>
                <w:color w:val="auto"/>
              </w:rPr>
            </w:pPr>
          </w:p>
        </w:tc>
        <w:tc>
          <w:tcPr>
            <w:tcW w:w="2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9"/>
                <w:szCs w:val="19"/>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5"/>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instruments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73"/>
        </w:trPr>
        <w:tc>
          <w:tcPr>
            <w:tcW w:w="3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2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instruments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derivatives</w:t>
            </w: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derivative contracts that were in liability positions as of December 31, 2014,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580" w:right="239" w:bottom="1440" w:gutter="0" w:footer="0" w:header="0"/>
        </w:sectPr>
      </w:pPr>
    </w:p>
    <w:bookmarkStart w:id="120" w:name="page121"/>
    <w:bookmarkEnd w:id="120"/>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three years ended December 31, 2014, are included within Net cash provided by operating activities in the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Contingencies and commitments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and other matters—including those discussed in this Note—that are complex in nature and have outcomes that are difficult to predict.</w:t>
      </w:r>
    </w:p>
    <w:p>
      <w:pPr>
        <w:spacing w:after="0" w:line="8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legal proceedings range from cases brought by a single plaintiff to class actions with thousands of putative class members. These legal proceedings, as well as other matters, involve various aspects of our business and a variety of claims—including but not limited to patent infringement, marketing, pricing and trade practices and securities law—some of which present novel factual allegations and/or unique legal theories. In each of the matters described in this filing,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of our legal proceedings and other matters are discussed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Sandoz Patent Litigation</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June 24, 2013, Sandoz, Inc. filed suit in the U.S. District Court for the Northern District of California (the California Northern District Court) against Amgen and Roche. Sandoz's complaint alleges that Sandoz has initiated a phase 3 clinical study of an etanercept product in patients with moderate to severe chronic plaque-type psoriasis, and that Sandoz intends to seek FDA regulatory approval to market and sell etanercept in the United States upon completion of the clinical trial. Sandoz seeks a declaratory judgment of non-infringement, invalidity and unenforceability of U.S. Patent Nos. 8,063,182 and 8,163,522. These patents are owned by Roche, and Amgen holds an exclusive license to these patents. The '182 and '522 patents expire in November 2028 and April 2029, respectively. On defendants’ motion, the California Northern District Court entered judgment dismissing the case for lack of subject matter jurisdiction on November 19, 2013. On December 12, 2013, Sandoz appealed the dismissal to the U.S. Court of Appeals for the Federal Circuit. On December 5, 2014, the appellate court affirmed the California Northern District Court’s dismissal of Sandoz’s complaint.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Sanofi/Regeneron Patent Litigation</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October 17, 2014, Amgen filed a lawsuit in the U.S. District Court of Delaware (the Delaware District Court) against Sanofi, Aventisub LLC, formerly doing business as Aventis Pharmaceuticals Inc. (collectively Sanofi), and Regeneron Pharmaceuticals, Inc. (Regeneron) for patent infringement of U.S. Patent Nos. 8,563,698, 8,829,165 and 8,859,741. On October 28, 2014, November 11, 2014, and November 17, 2014, Amgen filed related patent infringement lawsuits in the same court against Sanofi and Regeneron on newly issued U.S. Patent Nos. 8,871,913 and 8,871,914, U.S. Patent No. 8,883,983 and U.S. Patent No. 8,889,834, respectively. These seven patents, which are owned by Amgen, describe and claim monoclonal antibodies to proprotein convertase subtilisin/kexin type 9 (PCSK9). By its complaints, Amgen seeks an injunction to prevent the infringing manufacture, use and sale of Sanofi and Regeneron's alirocumab, a monoclonal antibody targeting PCSK9. On December 15, 2014, Sanofi and Regeneron filed their answer and, on that same day, the Delaware District Court consolidated these lawsuits into a single case.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Sandoz Filgrastim Litigation</w:t>
      </w:r>
    </w:p>
    <w:p>
      <w:pPr>
        <w:spacing w:after="0" w:line="146"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On October 24, 2014, Amgen Inc. and Amgen Manufacturing, Limited (collectively Amgen) filed a lawsuit in the California Northern District Court against Sandoz Inc., Sandoz International GmbH and Sandoz GmbH (collectively Sandoz) for unfair competition under California Business &amp; Professions Code § 17200, conversion under California common law and infringement of U.S. Patent No. 6,162,427. The lawsuit stems from Sandoz filing an application for FDA licensure of a filgrastim product as biosimilar to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under the Biologics Price Competition and Innovation Act (BPCIA), while having deliberately failed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580" w:right="239" w:bottom="1440" w:gutter="0" w:footer="0" w:header="0"/>
        </w:sectPr>
      </w:pPr>
    </w:p>
    <w:bookmarkStart w:id="121" w:name="page122"/>
    <w:bookmarkEnd w:id="121"/>
    <w:p>
      <w:pPr>
        <w:jc w:val="both"/>
        <w:spacing w:after="0" w:line="255" w:lineRule="auto"/>
        <w:rPr>
          <w:sz w:val="20"/>
          <w:szCs w:val="20"/>
          <w:color w:val="auto"/>
        </w:rPr>
      </w:pPr>
      <w:r>
        <w:rPr>
          <w:rFonts w:ascii="Times New Roman" w:cs="Times New Roman" w:eastAsia="Times New Roman" w:hAnsi="Times New Roman"/>
          <w:sz w:val="18"/>
          <w:szCs w:val="18"/>
          <w:color w:val="auto"/>
        </w:rPr>
        <w:t>to comply with the BPCIA’s disclosure requirement to Amgen as the reference product sponsor. By its complaint, Amgen seeks, amongst other remedies, an injunction to cease Sandoz’s unauthorized reliance on Amgen’s biological license for filgrastim, including an order compelling Sandoz to suspend FDA review of their application until there is restitution for its non-compliance with the BPCIA, an injunction to prevent Sandoz from commercially marketing the biosimilar product until Amgen is restored to the position it would have been in had Sandoz met their obligations under the BPCIA and an injunction to prevent Sandoz from infringing, or inducing any infringing use of, filgrastim. On November 20, 2014, Sandoz Inc. filed its answer to the complaint. On January 6, 2015, Amgen filed a motion for partial judgment on the pleadings, and on January 23, 2015, Sandoz filed a cross-motion for judgment on the pleadings. On February 5, 2015, Amgen filed a motion for a preliminary injunction. A hearing on these three motions has been set for March 13, 2015.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Onyx Litigation</w:t>
      </w:r>
    </w:p>
    <w:p>
      <w:pPr>
        <w:spacing w:after="0" w:line="146"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Between August 28, 2013 and September 16, 2013, nine plaintiffs filed purported class action lawsuits against Onyx, its directors, Amgen and Arena Acquisition Company (Arena), and unnamed “John Doe” defendants in connection with Amgen’s acquisition of Onyx. Seven of those purported class actions were brought in the Superior Court of the State of California for the County of San Mateo, captioned </w:t>
      </w:r>
      <w:r>
        <w:rPr>
          <w:rFonts w:ascii="Times New Roman" w:cs="Times New Roman" w:eastAsia="Times New Roman" w:hAnsi="Times New Roman"/>
          <w:sz w:val="18"/>
          <w:szCs w:val="18"/>
          <w:i w:val="1"/>
          <w:iCs w:val="1"/>
          <w:color w:val="auto"/>
        </w:rPr>
        <w:t>Lawrence I. Silverstein and Phil Rosen v. Onyx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et al. </w:t>
      </w:r>
      <w:r>
        <w:rPr>
          <w:rFonts w:ascii="Times New Roman" w:cs="Times New Roman" w:eastAsia="Times New Roman" w:hAnsi="Times New Roman"/>
          <w:sz w:val="18"/>
          <w:szCs w:val="18"/>
          <w:color w:val="auto"/>
        </w:rPr>
        <w:t>(August 28, 2013) (“</w:t>
      </w:r>
      <w:r>
        <w:rPr>
          <w:rFonts w:ascii="Times New Roman" w:cs="Times New Roman" w:eastAsia="Times New Roman" w:hAnsi="Times New Roman"/>
          <w:sz w:val="18"/>
          <w:szCs w:val="18"/>
          <w:i w:val="1"/>
          <w:iCs w:val="1"/>
          <w:color w:val="auto"/>
        </w:rPr>
        <w:t>Silverstein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Laura Robinson v. Onyx Pharmaceuticals, Inc., et al. </w:t>
      </w:r>
      <w:r>
        <w:rPr>
          <w:rFonts w:ascii="Times New Roman" w:cs="Times New Roman" w:eastAsia="Times New Roman" w:hAnsi="Times New Roman"/>
          <w:sz w:val="18"/>
          <w:szCs w:val="18"/>
          <w:color w:val="auto"/>
        </w:rPr>
        <w:t>(originally filed in the Superior Court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County of San Francisco on August 28, 2013, and re-filed in the Superior Court for the County of San Mateo on August 29, 2013) (“</w:t>
      </w:r>
      <w:r>
        <w:rPr>
          <w:rFonts w:ascii="Times New Roman" w:cs="Times New Roman" w:eastAsia="Times New Roman" w:hAnsi="Times New Roman"/>
          <w:sz w:val="18"/>
          <w:szCs w:val="18"/>
          <w:i w:val="1"/>
          <w:iCs w:val="1"/>
          <w:color w:val="auto"/>
        </w:rPr>
        <w:t>Robinson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Solak v. Onyx Pharmaceuticals, Inc., et al. </w:t>
      </w:r>
      <w:r>
        <w:rPr>
          <w:rFonts w:ascii="Times New Roman" w:cs="Times New Roman" w:eastAsia="Times New Roman" w:hAnsi="Times New Roman"/>
          <w:sz w:val="18"/>
          <w:szCs w:val="18"/>
          <w:color w:val="auto"/>
        </w:rPr>
        <w:t>(August 30, 2013),</w:t>
      </w:r>
      <w:r>
        <w:rPr>
          <w:rFonts w:ascii="Times New Roman" w:cs="Times New Roman" w:eastAsia="Times New Roman" w:hAnsi="Times New Roman"/>
          <w:sz w:val="18"/>
          <w:szCs w:val="18"/>
          <w:i w:val="1"/>
          <w:iCs w:val="1"/>
          <w:color w:val="auto"/>
        </w:rPr>
        <w:t xml:space="preserve"> Louisiana Municipal Police Employees’ Retirement System and Hubert Chow v. Onyx Pharmaceuticals, Inc., et al. </w:t>
      </w:r>
      <w:r>
        <w:rPr>
          <w:rFonts w:ascii="Times New Roman" w:cs="Times New Roman" w:eastAsia="Times New Roman" w:hAnsi="Times New Roman"/>
          <w:sz w:val="18"/>
          <w:szCs w:val="18"/>
          <w:color w:val="auto"/>
        </w:rPr>
        <w:t>(September 3, 2013) (“</w:t>
      </w:r>
      <w:r>
        <w:rPr>
          <w:rFonts w:ascii="Times New Roman" w:cs="Times New Roman" w:eastAsia="Times New Roman" w:hAnsi="Times New Roman"/>
          <w:sz w:val="18"/>
          <w:szCs w:val="18"/>
          <w:i w:val="1"/>
          <w:iCs w:val="1"/>
          <w:color w:val="auto"/>
        </w:rPr>
        <w:t>Louisiana Municipal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Laurine Jonopulos v. Onyx Pharmaceuticals, Inc., et al. </w:t>
      </w:r>
      <w:r>
        <w:rPr>
          <w:rFonts w:ascii="Times New Roman" w:cs="Times New Roman" w:eastAsia="Times New Roman" w:hAnsi="Times New Roman"/>
          <w:sz w:val="18"/>
          <w:szCs w:val="18"/>
          <w:color w:val="auto"/>
        </w:rPr>
        <w:t>(September 4,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Jonopulos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Clifford G. Martin v. Onyx Pharmaceuticals, Inc., et al</w:t>
      </w:r>
      <w:r>
        <w:rPr>
          <w:rFonts w:ascii="Times New Roman" w:cs="Times New Roman" w:eastAsia="Times New Roman" w:hAnsi="Times New Roman"/>
          <w:sz w:val="18"/>
          <w:szCs w:val="18"/>
          <w:color w:val="auto"/>
        </w:rPr>
        <w:t>. (September 9, 2013) (“</w:t>
      </w:r>
      <w:r>
        <w:rPr>
          <w:rFonts w:ascii="Times New Roman" w:cs="Times New Roman" w:eastAsia="Times New Roman" w:hAnsi="Times New Roman"/>
          <w:sz w:val="18"/>
          <w:szCs w:val="18"/>
          <w:i w:val="1"/>
          <w:iCs w:val="1"/>
          <w:color w:val="auto"/>
        </w:rPr>
        <w:t>Martin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Merrill L. Magowan v. Onyx Pharmaceuticals,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(September 9, 2013) (“</w:t>
      </w:r>
      <w:r>
        <w:rPr>
          <w:rFonts w:ascii="Times New Roman" w:cs="Times New Roman" w:eastAsia="Times New Roman" w:hAnsi="Times New Roman"/>
          <w:sz w:val="18"/>
          <w:szCs w:val="18"/>
          <w:i w:val="1"/>
          <w:iCs w:val="1"/>
          <w:color w:val="auto"/>
        </w:rPr>
        <w:t>Magowan</w:t>
      </w:r>
      <w:r>
        <w:rPr>
          <w:rFonts w:ascii="Times New Roman" w:cs="Times New Roman" w:eastAsia="Times New Roman" w:hAnsi="Times New Roman"/>
          <w:sz w:val="18"/>
          <w:szCs w:val="18"/>
          <w:color w:val="auto"/>
        </w:rPr>
        <w:t>”). The eighth and ninth purported class actions were brought in the Court of Chancery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Mark D. Smilow, IRA v. Onyx Pharmaceuticals Inc., et al.</w:t>
      </w:r>
      <w:r>
        <w:rPr>
          <w:rFonts w:ascii="Times New Roman" w:cs="Times New Roman" w:eastAsia="Times New Roman" w:hAnsi="Times New Roman"/>
          <w:sz w:val="18"/>
          <w:szCs w:val="18"/>
          <w:color w:val="auto"/>
        </w:rPr>
        <w:t xml:space="preserve"> (August 29, 2013) and </w:t>
      </w:r>
      <w:r>
        <w:rPr>
          <w:rFonts w:ascii="Times New Roman" w:cs="Times New Roman" w:eastAsia="Times New Roman" w:hAnsi="Times New Roman"/>
          <w:sz w:val="18"/>
          <w:szCs w:val="18"/>
          <w:i w:val="1"/>
          <w:iCs w:val="1"/>
          <w:color w:val="auto"/>
        </w:rPr>
        <w:t>William L. Fitzpatric v. Onyx Pharmaceuticals, Inc., et al.</w:t>
      </w:r>
      <w:r>
        <w:rPr>
          <w:rFonts w:ascii="Times New Roman" w:cs="Times New Roman" w:eastAsia="Times New Roman" w:hAnsi="Times New Roman"/>
          <w:sz w:val="18"/>
          <w:szCs w:val="18"/>
          <w:color w:val="auto"/>
        </w:rPr>
        <w:t xml:space="preserve"> (September 16, 2013) (“</w:t>
      </w:r>
      <w:r>
        <w:rPr>
          <w:rFonts w:ascii="Times New Roman" w:cs="Times New Roman" w:eastAsia="Times New Roman" w:hAnsi="Times New Roman"/>
          <w:sz w:val="18"/>
          <w:szCs w:val="18"/>
          <w:i w:val="1"/>
          <w:iCs w:val="1"/>
          <w:color w:val="auto"/>
        </w:rPr>
        <w:t>Fitzpatric</w:t>
      </w:r>
      <w:r>
        <w:rPr>
          <w:rFonts w:ascii="Times New Roman" w:cs="Times New Roman" w:eastAsia="Times New Roman" w:hAnsi="Times New Roman"/>
          <w:sz w:val="18"/>
          <w:szCs w:val="18"/>
          <w:color w:val="auto"/>
        </w:rPr>
        <w:t xml:space="preserve">”). On September 5, 2013, the plaintiff in the </w:t>
      </w:r>
      <w:r>
        <w:rPr>
          <w:rFonts w:ascii="Times New Roman" w:cs="Times New Roman" w:eastAsia="Times New Roman" w:hAnsi="Times New Roman"/>
          <w:sz w:val="18"/>
          <w:szCs w:val="18"/>
          <w:i w:val="1"/>
          <w:iCs w:val="1"/>
          <w:color w:val="auto"/>
        </w:rPr>
        <w:t>John Solak</w:t>
      </w:r>
      <w:r>
        <w:rPr>
          <w:rFonts w:ascii="Times New Roman" w:cs="Times New Roman" w:eastAsia="Times New Roman" w:hAnsi="Times New Roman"/>
          <w:sz w:val="18"/>
          <w:szCs w:val="18"/>
          <w:color w:val="auto"/>
        </w:rPr>
        <w:t xml:space="preserve"> case filed a request for dismissal of the case without prejudice. On September 10, 2013, the plaintiff in the </w:t>
      </w:r>
      <w:r>
        <w:rPr>
          <w:rFonts w:ascii="Times New Roman" w:cs="Times New Roman" w:eastAsia="Times New Roman" w:hAnsi="Times New Roman"/>
          <w:sz w:val="18"/>
          <w:szCs w:val="18"/>
          <w:i w:val="1"/>
          <w:iCs w:val="1"/>
          <w:color w:val="auto"/>
        </w:rPr>
        <w:t>Mark D. Smilow, IRA</w:t>
      </w:r>
      <w:r>
        <w:rPr>
          <w:rFonts w:ascii="Times New Roman" w:cs="Times New Roman" w:eastAsia="Times New Roman" w:hAnsi="Times New Roman"/>
          <w:sz w:val="18"/>
          <w:szCs w:val="18"/>
          <w:color w:val="auto"/>
        </w:rPr>
        <w:t xml:space="preserve"> case filed a notice and proposed order of voluntary dismissal of the case without prejudice. On September 10, 2013, plaintiffs in the </w:t>
      </w:r>
      <w:r>
        <w:rPr>
          <w:rFonts w:ascii="Times New Roman" w:cs="Times New Roman" w:eastAsia="Times New Roman" w:hAnsi="Times New Roman"/>
          <w:sz w:val="18"/>
          <w:szCs w:val="18"/>
          <w:i w:val="1"/>
          <w:iCs w:val="1"/>
          <w:color w:val="auto"/>
        </w:rPr>
        <w:t>Silverstein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Louisiana Municipal</w:t>
      </w:r>
      <w:r>
        <w:rPr>
          <w:rFonts w:ascii="Times New Roman" w:cs="Times New Roman" w:eastAsia="Times New Roman" w:hAnsi="Times New Roman"/>
          <w:sz w:val="18"/>
          <w:szCs w:val="18"/>
          <w:color w:val="auto"/>
        </w:rPr>
        <w:t xml:space="preserve"> cases filed an amended complaint alleging substantially the same claims and seeking substantially the same relief as in their individual purported class action lawsuits. Each of the lawsuits alleges that the Onyx director defendants breached their fiduciary duties to Onyx shareholders, and that the other defendants aided and abetted such breaches, by seeking to sell Onyx through an allegedly unfair process and for an unfair price and on unfair terms. The </w:t>
      </w:r>
      <w:r>
        <w:rPr>
          <w:rFonts w:ascii="Times New Roman" w:cs="Times New Roman" w:eastAsia="Times New Roman" w:hAnsi="Times New Roman"/>
          <w:sz w:val="18"/>
          <w:szCs w:val="18"/>
          <w:i w:val="1"/>
          <w:iCs w:val="1"/>
          <w:color w:val="auto"/>
        </w:rPr>
        <w:t>Magowan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Fitzpatric</w:t>
      </w:r>
      <w:r>
        <w:rPr>
          <w:rFonts w:ascii="Times New Roman" w:cs="Times New Roman" w:eastAsia="Times New Roman" w:hAnsi="Times New Roman"/>
          <w:sz w:val="18"/>
          <w:szCs w:val="18"/>
          <w:color w:val="auto"/>
        </w:rPr>
        <w:t xml:space="preserve"> complaints and the amended complaint filed in the </w:t>
      </w:r>
      <w:r>
        <w:rPr>
          <w:rFonts w:ascii="Times New Roman" w:cs="Times New Roman" w:eastAsia="Times New Roman" w:hAnsi="Times New Roman"/>
          <w:sz w:val="18"/>
          <w:szCs w:val="18"/>
          <w:i w:val="1"/>
          <w:iCs w:val="1"/>
          <w:color w:val="auto"/>
        </w:rPr>
        <w:t xml:space="preserve">Silverstein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Louisiana Municipal </w:t>
      </w:r>
      <w:r>
        <w:rPr>
          <w:rFonts w:ascii="Times New Roman" w:cs="Times New Roman" w:eastAsia="Times New Roman" w:hAnsi="Times New Roman"/>
          <w:sz w:val="18"/>
          <w:szCs w:val="18"/>
          <w:color w:val="auto"/>
        </w:rPr>
        <w:t>cases also alleged that the individual defendants breached their fiduciary duties with respect to the contents of the tender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solicitation material. Each of the lawsuits sought, among other things, rescission of the merger agreement and attorneys’ fees and costs, and certain of the lawsuits sought other relief. The </w:t>
      </w:r>
      <w:r>
        <w:rPr>
          <w:rFonts w:ascii="Times New Roman" w:cs="Times New Roman" w:eastAsia="Times New Roman" w:hAnsi="Times New Roman"/>
          <w:sz w:val="18"/>
          <w:szCs w:val="18"/>
          <w:i w:val="1"/>
          <w:iCs w:val="1"/>
          <w:color w:val="auto"/>
        </w:rPr>
        <w:t>Silverstein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Robinson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Louisiana Municipal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Jonopulos</w:t>
      </w:r>
      <w:r>
        <w:rPr>
          <w:rFonts w:ascii="Times New Roman" w:cs="Times New Roman" w:eastAsia="Times New Roman" w:hAnsi="Times New Roman"/>
          <w:sz w:val="18"/>
          <w:szCs w:val="18"/>
          <w:color w:val="auto"/>
        </w:rPr>
        <w:t xml:space="preserve"> cases were designated as “complex” and assigned to the Honorable Marie S. Weiner, who subsequently entered an order consolidating the </w:t>
      </w:r>
      <w:r>
        <w:rPr>
          <w:rFonts w:ascii="Times New Roman" w:cs="Times New Roman" w:eastAsia="Times New Roman" w:hAnsi="Times New Roman"/>
          <w:sz w:val="18"/>
          <w:szCs w:val="18"/>
          <w:i w:val="1"/>
          <w:iCs w:val="1"/>
          <w:color w:val="auto"/>
        </w:rPr>
        <w:t>Silverstein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Robinson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Louisiana Municipal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Jonopulos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Martin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Magowan </w:t>
      </w:r>
      <w:r>
        <w:rPr>
          <w:rFonts w:ascii="Times New Roman" w:cs="Times New Roman" w:eastAsia="Times New Roman" w:hAnsi="Times New Roman"/>
          <w:sz w:val="18"/>
          <w:szCs w:val="18"/>
          <w:color w:val="auto"/>
        </w:rPr>
        <w:t>cases (the Consolidated Cases). On October 31, 2013, the plaintiffs in the Consolidated Cases filed a consolidated class action complaint seeking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of a class and alleging breach of fiduciary duties of loyalty and good faith against the Onyx directors and aiding and abetting breach of fiduciary duties against Onyx. The complaint sought certification of a class of all Onyx shareholders, damages (including pre- and post-judgment interest), attorneys’ fees and expenses plus other relief. The plaintiffs in the Consolidated Cases simultaneously filed a notice of dismissal without prejudice of Amgen and Arena. Onyx and the Onyx directors filed demurrers to the consolidated class action complaint on November 22, 2013. Following a January 3, 2014 hearing, on January 9, 2014, the court entered an order overruling the demurrer on the breach of fiduciary duty of loyalty and good faith against the Onyx directors and sustained the demurrer without leave to amend against Onyx. On March 21, 2014, plaintiff Phil Rosen filed a motion seeking to certify a class and to be designated class representative, and on January 30, 2015, the court granted class certification and appointed Mr. Rosen as class representative in the Consolidated Cases.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Litigation - In re Amgen Inc. Securities Litigation</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six federal class action stockholder complaints filed against Amgen Inc., Kevin W. Sharer, Richard D. Nanula, Dennis M. Fenton, Roger M. Perlmutter, Brian M. McNamee, George J. Morrow, Edward V. Fritzky, Gilbert S. Omenn and Franklin P. Johnson, Jr., (the Federal Defendants) in the U.S. District Court for the Central District of California (the California Central District Court) on April 17, 2007 (</w:t>
      </w:r>
      <w:r>
        <w:rPr>
          <w:rFonts w:ascii="Times New Roman" w:cs="Times New Roman" w:eastAsia="Times New Roman" w:hAnsi="Times New Roman"/>
          <w:sz w:val="18"/>
          <w:szCs w:val="18"/>
          <w:i w:val="1"/>
          <w:iCs w:val="1"/>
          <w:color w:val="auto"/>
        </w:rPr>
        <w:t>Kairalla v. Amgen Inc., et al.</w:t>
      </w:r>
      <w:r>
        <w:rPr>
          <w:rFonts w:ascii="Times New Roman" w:cs="Times New Roman" w:eastAsia="Times New Roman" w:hAnsi="Times New Roman"/>
          <w:sz w:val="18"/>
          <w:szCs w:val="18"/>
          <w:color w:val="auto"/>
        </w:rPr>
        <w:t>), May 1, 2007 (</w:t>
      </w:r>
      <w:r>
        <w:rPr>
          <w:rFonts w:ascii="Times New Roman" w:cs="Times New Roman" w:eastAsia="Times New Roman" w:hAnsi="Times New Roman"/>
          <w:sz w:val="18"/>
          <w:szCs w:val="18"/>
          <w:i w:val="1"/>
          <w:iCs w:val="1"/>
          <w:color w:val="auto"/>
        </w:rPr>
        <w:t>Mendall v. Amgen Inc., et al., &amp; Jaffe v. Amgen Inc., et al.</w:t>
      </w:r>
      <w:r>
        <w:rPr>
          <w:rFonts w:ascii="Times New Roman" w:cs="Times New Roman" w:eastAsia="Times New Roman" w:hAnsi="Times New Roman"/>
          <w:sz w:val="18"/>
          <w:szCs w:val="18"/>
          <w:color w:val="auto"/>
        </w:rPr>
        <w:t>), May 11, 2007 (</w:t>
      </w:r>
      <w:r>
        <w:rPr>
          <w:rFonts w:ascii="Times New Roman" w:cs="Times New Roman" w:eastAsia="Times New Roman" w:hAnsi="Times New Roman"/>
          <w:sz w:val="18"/>
          <w:szCs w:val="18"/>
          <w:i w:val="1"/>
          <w:iCs w:val="1"/>
          <w:color w:val="auto"/>
        </w:rPr>
        <w:t>Eldon v. Amgen Inc., et al.</w:t>
      </w:r>
      <w:r>
        <w:rPr>
          <w:rFonts w:ascii="Times New Roman" w:cs="Times New Roman" w:eastAsia="Times New Roman" w:hAnsi="Times New Roman"/>
          <w:sz w:val="18"/>
          <w:szCs w:val="18"/>
          <w:color w:val="auto"/>
        </w:rPr>
        <w:t>), May 21, 2007 (</w:t>
      </w:r>
      <w:r>
        <w:rPr>
          <w:rFonts w:ascii="Times New Roman" w:cs="Times New Roman" w:eastAsia="Times New Roman" w:hAnsi="Times New Roman"/>
          <w:sz w:val="18"/>
          <w:szCs w:val="18"/>
          <w:i w:val="1"/>
          <w:iCs w:val="1"/>
          <w:color w:val="auto"/>
        </w:rPr>
        <w:t>Rosenfield v. Amgen Inc., et al.</w:t>
      </w:r>
      <w:r>
        <w:rPr>
          <w:rFonts w:ascii="Times New Roman" w:cs="Times New Roman" w:eastAsia="Times New Roman" w:hAnsi="Times New Roman"/>
          <w:sz w:val="18"/>
          <w:szCs w:val="18"/>
          <w:color w:val="auto"/>
        </w:rPr>
        <w:t>) and June 18, 2007 (</w:t>
      </w:r>
      <w:r>
        <w:rPr>
          <w:rFonts w:ascii="Times New Roman" w:cs="Times New Roman" w:eastAsia="Times New Roman" w:hAnsi="Times New Roman"/>
          <w:sz w:val="18"/>
          <w:szCs w:val="18"/>
          <w:i w:val="1"/>
          <w:iCs w:val="1"/>
          <w:color w:val="auto"/>
        </w:rPr>
        <w:t>Public Employees' Retirement Association of Colorado v. Amgen Inc., et al.</w:t>
      </w:r>
      <w:r>
        <w:rPr>
          <w:rFonts w:ascii="Times New Roman" w:cs="Times New Roman" w:eastAsia="Times New Roman" w:hAnsi="Times New Roman"/>
          <w:sz w:val="18"/>
          <w:szCs w:val="18"/>
          <w:color w:val="auto"/>
        </w:rPr>
        <w:t xml:space="preserve">) were consolidated by the California Central District Court into one action captioned </w:t>
      </w:r>
      <w:r>
        <w:rPr>
          <w:rFonts w:ascii="Times New Roman" w:cs="Times New Roman" w:eastAsia="Times New Roman" w:hAnsi="Times New Roman"/>
          <w:sz w:val="18"/>
          <w:szCs w:val="18"/>
          <w:i w:val="1"/>
          <w:iCs w:val="1"/>
          <w:color w:val="auto"/>
        </w:rPr>
        <w:t>In re Amgen Inc. Securities Litigation</w:t>
      </w:r>
      <w:r>
        <w:rPr>
          <w:rFonts w:ascii="Times New Roman" w:cs="Times New Roman" w:eastAsia="Times New Roman" w:hAnsi="Times New Roman"/>
          <w:sz w:val="18"/>
          <w:szCs w:val="18"/>
          <w:color w:val="auto"/>
        </w:rPr>
        <w:t>. The consolidated complaint was filed with the California Central District Court on October 2, 2007. The consolidated complaint alleges that Amgen and these officers and directors made false statements that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580" w:right="239" w:bottom="1440" w:gutter="0" w:footer="0" w:header="0"/>
        </w:sectPr>
      </w:pPr>
    </w:p>
    <w:bookmarkStart w:id="122" w:name="page123"/>
    <w:bookmarkEnd w:id="122"/>
    <w:p>
      <w:pPr>
        <w:jc w:val="both"/>
        <w:spacing w:after="0" w:line="241" w:lineRule="auto"/>
        <w:rPr>
          <w:sz w:val="20"/>
          <w:szCs w:val="20"/>
          <w:color w:val="auto"/>
        </w:rPr>
      </w:pPr>
      <w:r>
        <w:rPr>
          <w:rFonts w:ascii="Times New Roman" w:cs="Times New Roman" w:eastAsia="Times New Roman" w:hAnsi="Times New Roman"/>
          <w:sz w:val="18"/>
          <w:szCs w:val="18"/>
          <w:color w:val="auto"/>
        </w:rPr>
        <w:t>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The complaint also makes off-label marketing allegations that, throughout the class period, the Federal Defendants improperly marketed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off-label uses while aware that there were alleged safety signals with these products. The plaintiffs seek class certification, compensatory damages, legal fees and other relief deemed proper. The Federal Defendants filed a motion to dismiss on November 8, 2007. On February 4, 2008, the California Central District Court granted in part, and denied in part, the Federal Defendants' motion to dismiss the consolidated amended complaint. Specifically, the California Central District Court granted the Federal Defendants' motion to dismiss as to individual defendants Fritzky, Omenn, Johnson, Fenton and McNamee, but denied the Federal Defendants' motion to dismiss as to individual defendants Sharer, Nanula, Perlmutter and Morrow.</w:t>
      </w:r>
    </w:p>
    <w:p>
      <w:pPr>
        <w:spacing w:after="0" w:line="12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 class certification hearing before the California Central District Court, was held on July 17, 2009, and on August 12, 2009, the California Central District Court granted plaintiffs' motion for class certification. On August 28, 2009, Amgen filed a petition for permission to appeal with the U.S. Court of Appeals for the Ninth Circuit (the Ninth Circuit Court) under Rule 23(f), regarding the Order on Class Certification and the Ninth Circuit Court granted Amgen's permission to appeal on December 11, 2009. On February 2, 2010, the California Central District Court granted Amgen's motion to stay the underlying action pending the outcome of the Ninth Circuit Court 23(f) appeal. On October 14, 2011, the appeal under Rule 23(f) was argued before the Ninth Circuit Court and on December 28, 2011, the Ninth Circuit Court denied the appeal. Amgen filed a petition for certiorari with the U.S. Supreme Court on March 3, 2012, and on June 11, 2012, the Court granted Amgen's petition. Oral argument occurred on November 5, 2012. On February 27, 2013, the U.S. Supreme Court affirmed the decision of the Ninth Circuit Court and remanded the case back to the California Central District Court for further proceedings. A revised July 28, 2015, trial date has been set by the California Central District Court.</w:t>
      </w:r>
    </w:p>
    <w:p>
      <w:pPr>
        <w:spacing w:after="0" w:line="108"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8"/>
          <w:szCs w:val="18"/>
          <w:color w:val="auto"/>
        </w:rPr>
        <w:t>On April 14, 2014, the California Central District Court entered an order allowing plaintiffs leave to file a second consolidated amended class action complaint in this securities class action lawsuit. While the new complaint was filed under seal, like the first consolidated class action complaint the new complaint alleges that the Federal Defendants made false statements that 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In addition, like the first consolidated class action complaint, the new complaint makes off-label marketing allegations that, throughout the class period, the Federal Defendants improperly marketed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off-label uses while aware that there were alleged safety signals with these products. The named defendants have not changed and the alleged class period remains the same. Plaintiffs continue to seek compensatory damages, legal fees and other relief deemed proper.</w:t>
      </w:r>
    </w:p>
    <w:p>
      <w:pPr>
        <w:spacing w:after="0" w:line="120"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8"/>
          <w:szCs w:val="18"/>
          <w:color w:val="auto"/>
        </w:rPr>
        <w:t>On May 5, 2014, plaintiffs filed an unsealed, redacted version of their second consolidated amended complaint. On May 13, 2014, the Federal Defendants filed a motion to dismiss that complaint. On August 4, 2014, the court issued an order granting the Federal Defendants’ motion to dismiss with respect to certain of the misrepresentations alleged in the complaint and otherwise denying the motion to dismiss. Following the court’s order, the complaint continues to allege that the Federal Defendants made false statements that resulted in: (i) deceiving the investing public regarding Amgen's prospects and business; (ii) artificially inflating the prices of Amgen's publicly traded securities; and (iii) causing plaintiff and other members of the class to purchase Amgen publicly traded securities at inflated prices. The complaint also continues to make off-label marketing allegations that, throughout the class period, the Federal Defendants improperly marketed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off-label uses while aware that there were alleged safety signals with these products. The named defendants have not changed and the alleged class period remains the same.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Derivative Litigation</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Larson v. Sharer, et al.</w:t>
      </w:r>
    </w:p>
    <w:p>
      <w:pPr>
        <w:spacing w:after="0" w:line="146"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8"/>
          <w:szCs w:val="18"/>
          <w:color w:val="auto"/>
        </w:rPr>
        <w:t>The three state stockholder derivative complaints filed against Amgen Inc., Kevin W. Sharer, George J. Morrow, Dennis M. Fenton, Brian M. McNamee, Roger M. Perlmutter, David Baltimore, Gilbert S. Omenn, Judith C. Pelham, Frederick W. Gluck, Jerry D. Choate, J. Paul Reason, Frank J. Biondi, Jr., Leonard D. Schaeffer, Frank C. Herringer, Richard D. Nanula, Willard H. Dere, Edward V. Fritzky, Franklin P. Johnson, Jr. and Donald B. Rice as defendants (the State Defendants) on May 1, 2007 (</w:t>
      </w:r>
      <w:r>
        <w:rPr>
          <w:rFonts w:ascii="Times New Roman" w:cs="Times New Roman" w:eastAsia="Times New Roman" w:hAnsi="Times New Roman"/>
          <w:sz w:val="18"/>
          <w:szCs w:val="18"/>
          <w:i w:val="1"/>
          <w:iCs w:val="1"/>
          <w:color w:val="auto"/>
        </w:rPr>
        <w:t>Larson v. Sharer, et al.</w:t>
      </w:r>
      <w:r>
        <w:rPr>
          <w:rFonts w:ascii="Times New Roman" w:cs="Times New Roman" w:eastAsia="Times New Roman" w:hAnsi="Times New Roman"/>
          <w:sz w:val="18"/>
          <w:szCs w:val="18"/>
          <w:color w:val="auto"/>
        </w:rPr>
        <w:t xml:space="preserve">, &amp; </w:t>
      </w:r>
      <w:r>
        <w:rPr>
          <w:rFonts w:ascii="Times New Roman" w:cs="Times New Roman" w:eastAsia="Times New Roman" w:hAnsi="Times New Roman"/>
          <w:sz w:val="18"/>
          <w:szCs w:val="18"/>
          <w:i w:val="1"/>
          <w:iCs w:val="1"/>
          <w:color w:val="auto"/>
        </w:rPr>
        <w:t>Anderson v. Sharer, et al.</w:t>
      </w:r>
      <w:r>
        <w:rPr>
          <w:rFonts w:ascii="Times New Roman" w:cs="Times New Roman" w:eastAsia="Times New Roman" w:hAnsi="Times New Roman"/>
          <w:sz w:val="18"/>
          <w:szCs w:val="18"/>
          <w:color w:val="auto"/>
        </w:rPr>
        <w:t>), and August 13, 2007 (</w:t>
      </w:r>
      <w:r>
        <w:rPr>
          <w:rFonts w:ascii="Times New Roman" w:cs="Times New Roman" w:eastAsia="Times New Roman" w:hAnsi="Times New Roman"/>
          <w:sz w:val="18"/>
          <w:szCs w:val="18"/>
          <w:i w:val="1"/>
          <w:iCs w:val="1"/>
          <w:color w:val="auto"/>
        </w:rPr>
        <w:t>Weil v. Sharer, et al.</w:t>
      </w:r>
      <w:r>
        <w:rPr>
          <w:rFonts w:ascii="Times New Roman" w:cs="Times New Roman" w:eastAsia="Times New Roman" w:hAnsi="Times New Roman"/>
          <w:sz w:val="18"/>
          <w:szCs w:val="18"/>
          <w:color w:val="auto"/>
        </w:rPr>
        <w:t xml:space="preserve">) in the Superior Court of the State of California, Ventura County (the Superior Court) were consolidated by the Superior Court under one action captioned </w:t>
      </w:r>
      <w:r>
        <w:rPr>
          <w:rFonts w:ascii="Times New Roman" w:cs="Times New Roman" w:eastAsia="Times New Roman" w:hAnsi="Times New Roman"/>
          <w:sz w:val="18"/>
          <w:szCs w:val="18"/>
          <w:i w:val="1"/>
          <w:iCs w:val="1"/>
          <w:color w:val="auto"/>
        </w:rPr>
        <w:t>Larson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Sharer, et al</w:t>
      </w:r>
      <w:r>
        <w:rPr>
          <w:rFonts w:ascii="Times New Roman" w:cs="Times New Roman" w:eastAsia="Times New Roman" w:hAnsi="Times New Roman"/>
          <w:sz w:val="18"/>
          <w:szCs w:val="18"/>
          <w:color w:val="auto"/>
        </w:rPr>
        <w:t>. The consolidated complaint was filed on July 5, 2007. The complaint alleges that the State Defendants breached their fiduciary duties, wasted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assets, were unjustly enriched and violated the California Corporations Code. Plaintiffs allege that the State Defendants failed to disclose and/or misrepresented results of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studies, marketed both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off-label uses and that these actions or inactions caused stockholders to suffer damages. The complaints also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580" w:right="2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allege insider trading by the State Defendants. The plaintiffs seek treble damages based on various causes of action, reformed corporate governance, equitable and/or injunctive relief, restitution, disgorgement of profits, benefits and other compensation, and legal costs.</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An amended consolidated complaint was filed on March 13, 2008, adding Anthony Gringeri as a State Defendant and removing the causes of action for insider selling and misappropriation of information, violation of California Corporations Code Section 25402 and violation of California Corporations Code Section 25403. On July 14, 2008, the Superior Court dismissed without prejudice the consolidated state derivative class action. The judge also ordered a stay of any re-filing of an amended complaint until the federal court has determined in the </w:t>
      </w:r>
      <w:r>
        <w:rPr>
          <w:rFonts w:ascii="Times New Roman" w:cs="Times New Roman" w:eastAsia="Times New Roman" w:hAnsi="Times New Roman"/>
          <w:sz w:val="18"/>
          <w:szCs w:val="18"/>
          <w:i w:val="1"/>
          <w:iCs w:val="1"/>
          <w:color w:val="auto"/>
        </w:rPr>
        <w:t>In re Amgen Inc. Securities Litigation</w:t>
      </w:r>
      <w:r>
        <w:rPr>
          <w:rFonts w:ascii="Times New Roman" w:cs="Times New Roman" w:eastAsia="Times New Roman" w:hAnsi="Times New Roman"/>
          <w:sz w:val="18"/>
          <w:szCs w:val="18"/>
          <w:color w:val="auto"/>
        </w:rPr>
        <w:t xml:space="preserve"> action whether any securities fraud occurred. On July 3, 2013, the parties filed a stipulation to permit the plaintiffs to file an amended complaint asserting additional grounds for the defendants' alleged breaches of fiduciary duty.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Derivative Litigation</w:t>
      </w:r>
    </w:p>
    <w:p>
      <w:pPr>
        <w:spacing w:after="0" w:line="14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 xml:space="preserve">On May 7, 2007, the stockholder derivative lawsuit of </w:t>
      </w:r>
      <w:r>
        <w:rPr>
          <w:rFonts w:ascii="Times New Roman" w:cs="Times New Roman" w:eastAsia="Times New Roman" w:hAnsi="Times New Roman"/>
          <w:sz w:val="18"/>
          <w:szCs w:val="18"/>
          <w:i w:val="1"/>
          <w:iCs w:val="1"/>
          <w:color w:val="auto"/>
        </w:rPr>
        <w:t>Durgin v. Sharer, et al.</w:t>
      </w:r>
      <w:r>
        <w:rPr>
          <w:rFonts w:ascii="Times New Roman" w:cs="Times New Roman" w:eastAsia="Times New Roman" w:hAnsi="Times New Roman"/>
          <w:sz w:val="18"/>
          <w:szCs w:val="18"/>
          <w:color w:val="auto"/>
        </w:rPr>
        <w:t xml:space="preserve">, was filed in the California Central District Court and named Amgen Inc., Kevin W. Sharer, George J. Morrow, Dennis M. Fenton, Brian M. McNamee, Roger M. Perlmutter, David Baltimore, Gilbert S. Omenn, Judith C. Pelham, Frederick W. Gluck, Jerry D. Choate, J. Paul Reason, Frank J. Biondi, Jr., Leonard D. Schaeffer, Frank C. Herringer, Richard D. Nanula, Edward V. Fritzky and Franklin P. Johnson, Jr. as defendants. The complaint alleges the same claims and requests the same relief as in the three state stockholder derivative complaints now consolidated as </w:t>
      </w:r>
      <w:r>
        <w:rPr>
          <w:rFonts w:ascii="Times New Roman" w:cs="Times New Roman" w:eastAsia="Times New Roman" w:hAnsi="Times New Roman"/>
          <w:sz w:val="18"/>
          <w:szCs w:val="18"/>
          <w:i w:val="1"/>
          <w:iCs w:val="1"/>
          <w:color w:val="auto"/>
        </w:rPr>
        <w:t>Larson v. Sharer, et al</w:t>
      </w:r>
      <w:r>
        <w:rPr>
          <w:rFonts w:ascii="Times New Roman" w:cs="Times New Roman" w:eastAsia="Times New Roman" w:hAnsi="Times New Roman"/>
          <w:sz w:val="18"/>
          <w:szCs w:val="18"/>
          <w:color w:val="auto"/>
        </w:rPr>
        <w:t xml:space="preserve">. The case has been stayed for all purposes until thirty days after a final ruling on the motion to dismiss by the California Central District Court in the </w:t>
      </w:r>
      <w:r>
        <w:rPr>
          <w:rFonts w:ascii="Times New Roman" w:cs="Times New Roman" w:eastAsia="Times New Roman" w:hAnsi="Times New Roman"/>
          <w:sz w:val="18"/>
          <w:szCs w:val="18"/>
          <w:i w:val="1"/>
          <w:iCs w:val="1"/>
          <w:color w:val="auto"/>
        </w:rPr>
        <w:t>In re Amgen Inc. Securities Litigation</w:t>
      </w:r>
      <w:r>
        <w:rPr>
          <w:rFonts w:ascii="Times New Roman" w:cs="Times New Roman" w:eastAsia="Times New Roman" w:hAnsi="Times New Roman"/>
          <w:sz w:val="18"/>
          <w:szCs w:val="18"/>
          <w:color w:val="auto"/>
        </w:rPr>
        <w:t xml:space="preserve"> action.</w:t>
      </w:r>
    </w:p>
    <w:p>
      <w:pPr>
        <w:spacing w:after="0" w:line="102"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8"/>
          <w:szCs w:val="18"/>
          <w:color w:val="auto"/>
        </w:rPr>
        <w:t xml:space="preserve">On September 21, 2007, the stockholder derivative lawsuit of </w:t>
      </w:r>
      <w:r>
        <w:rPr>
          <w:rFonts w:ascii="Times New Roman" w:cs="Times New Roman" w:eastAsia="Times New Roman" w:hAnsi="Times New Roman"/>
          <w:sz w:val="18"/>
          <w:szCs w:val="18"/>
          <w:i w:val="1"/>
          <w:iCs w:val="1"/>
          <w:color w:val="auto"/>
        </w:rPr>
        <w:t>Rosenblum v. Sharer, et al.</w:t>
      </w:r>
      <w:r>
        <w:rPr>
          <w:rFonts w:ascii="Times New Roman" w:cs="Times New Roman" w:eastAsia="Times New Roman" w:hAnsi="Times New Roman"/>
          <w:sz w:val="18"/>
          <w:szCs w:val="18"/>
          <w:color w:val="auto"/>
        </w:rPr>
        <w:t>, was filed in the California Central District Court. This lawsuit was brought by a stockholder who previously made a demand on the Amgen Board on May 14, 2007. The complaint alleges that the defendants breached their fiduciary duties, wasted corporate assets and were unjustly enriched. Plaintiffs allege that the defendants failed to disclose and/or misrepresented results of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studies, marketed both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off-label uses and that these actions or inactions as well as the Amgen market strategy caused damage to the Company resulting in several inquiries, investigations and lawsuits that are costly to defend. The complaint also alleges insider trading by the defendants. The plaintiffs seek treble damages based on various causes of action, reformed corporate governance, equitable and/or injunctive relief, restitution, disgorgement of profits, benefits and other compensation, and legal costs. The case was stayed for all purposes until thirty days after a final ruling on the motion to dismiss by the California Central District Court in the </w:t>
      </w:r>
      <w:r>
        <w:rPr>
          <w:rFonts w:ascii="Times New Roman" w:cs="Times New Roman" w:eastAsia="Times New Roman" w:hAnsi="Times New Roman"/>
          <w:sz w:val="18"/>
          <w:szCs w:val="18"/>
          <w:i w:val="1"/>
          <w:iCs w:val="1"/>
          <w:color w:val="auto"/>
        </w:rPr>
        <w:t>In re Amgen Inc. Securities Litigation</w:t>
      </w:r>
      <w:r>
        <w:rPr>
          <w:rFonts w:ascii="Times New Roman" w:cs="Times New Roman" w:eastAsia="Times New Roman" w:hAnsi="Times New Roman"/>
          <w:sz w:val="18"/>
          <w:szCs w:val="18"/>
          <w:color w:val="auto"/>
        </w:rPr>
        <w:t xml:space="preserve"> action.</w:t>
      </w:r>
    </w:p>
    <w:p>
      <w:pPr>
        <w:spacing w:after="0" w:line="12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Thereafter, on May 1, 2008, plaintiff in </w:t>
      </w:r>
      <w:r>
        <w:rPr>
          <w:rFonts w:ascii="Times New Roman" w:cs="Times New Roman" w:eastAsia="Times New Roman" w:hAnsi="Times New Roman"/>
          <w:sz w:val="18"/>
          <w:szCs w:val="18"/>
          <w:i w:val="1"/>
          <w:iCs w:val="1"/>
          <w:color w:val="auto"/>
        </w:rPr>
        <w:t>Rosenblum v. Sharer, et al.</w:t>
      </w:r>
      <w:r>
        <w:rPr>
          <w:rFonts w:ascii="Times New Roman" w:cs="Times New Roman" w:eastAsia="Times New Roman" w:hAnsi="Times New Roman"/>
          <w:sz w:val="18"/>
          <w:szCs w:val="18"/>
          <w:color w:val="auto"/>
        </w:rPr>
        <w:t xml:space="preserve">, filed an amended complaint which removed Dennis Fenton as a defendant and also eliminated the claims for insider selling by defendants. On July 30, 2008, the California Central District Court granted Amgen and the defendants' motion to dismiss without prejudice and also granted a stay of the case pending resolution of the </w:t>
      </w:r>
      <w:r>
        <w:rPr>
          <w:rFonts w:ascii="Times New Roman" w:cs="Times New Roman" w:eastAsia="Times New Roman" w:hAnsi="Times New Roman"/>
          <w:sz w:val="18"/>
          <w:szCs w:val="18"/>
          <w:i w:val="1"/>
          <w:iCs w:val="1"/>
          <w:color w:val="auto"/>
        </w:rPr>
        <w:t>In re Amgen Inc. Securities Litigation</w:t>
      </w:r>
      <w:r>
        <w:rPr>
          <w:rFonts w:ascii="Times New Roman" w:cs="Times New Roman" w:eastAsia="Times New Roman" w:hAnsi="Times New Roman"/>
          <w:sz w:val="18"/>
          <w:szCs w:val="18"/>
          <w:color w:val="auto"/>
        </w:rPr>
        <w:t xml:space="preserve"> action.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ERISA Litigation</w:t>
      </w:r>
    </w:p>
    <w:p>
      <w:pPr>
        <w:spacing w:after="0" w:line="14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8"/>
          <w:szCs w:val="18"/>
          <w:color w:val="auto"/>
        </w:rPr>
        <w:t xml:space="preserve">On August 20, 2007, the Employee Retirement Income Security Act (ERISA) class action lawsuit of </w:t>
      </w:r>
      <w:r>
        <w:rPr>
          <w:rFonts w:ascii="Times New Roman" w:cs="Times New Roman" w:eastAsia="Times New Roman" w:hAnsi="Times New Roman"/>
          <w:sz w:val="18"/>
          <w:szCs w:val="18"/>
          <w:i w:val="1"/>
          <w:iCs w:val="1"/>
          <w:color w:val="auto"/>
        </w:rPr>
        <w:t>Harris v. Amgen Inc., et al.,</w:t>
      </w:r>
      <w:r>
        <w:rPr>
          <w:rFonts w:ascii="Times New Roman" w:cs="Times New Roman" w:eastAsia="Times New Roman" w:hAnsi="Times New Roman"/>
          <w:sz w:val="18"/>
          <w:szCs w:val="18"/>
          <w:color w:val="auto"/>
        </w:rPr>
        <w:t xml:space="preserve"> was filed in the California Central District Court and named Amgen Inc., Kevin W. Sharer, Frank J. Biondi, Jr., Jerry Choate, Frank C. Herringer, Gilbert S. Omenn, David Baltimore, Judith C. Pelham, Frederick W. Gluck, Leonard D. Schaeffer, Jacqueline Allred, Raul Cermeno, Jackie Crouse, Lori Johnston, Michael Kelly and Charles Bell as defendants. Plaintiffs claim that Amgen and the individual defendants breached their fiduciary duties and their duty of loyalty by continuing to offer the Amgen stock fund as an investment option in the Amgen Retirement and Savings Plan and the Retirement and Savings Plan for Amgen Manufacturing Limited (the Plans) despite the alleged off-label promotion of both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despite a number of allegedly undisclosed study results that allegedly demonstrated safety concerns in patients using ESAs. Plaintiffs also allege that defendants breached their obligations under ERISA by not disclosing to plan participants the alleged off-label marketing and study results. On February 4, 2008, the California Central District Court dismissed the complaint with prejudice as to plaintiff Harris, who had filed claims against Amgen Inc. The claims alleged by the second plaintiff, Ramos, were also dismissed but the court granted the plaintiff leave to amend his complaint. On February 1, 2008, the plaintiffs appealed the decision by the California Central District Court to dismiss the claims of both plaintiffs Harris and Ramos to the Ninth Circuit Court. On May 19, 2008, plaintiff Ramos in the </w:t>
      </w:r>
      <w:r>
        <w:rPr>
          <w:rFonts w:ascii="Times New Roman" w:cs="Times New Roman" w:eastAsia="Times New Roman" w:hAnsi="Times New Roman"/>
          <w:sz w:val="18"/>
          <w:szCs w:val="18"/>
          <w:i w:val="1"/>
          <w:iCs w:val="1"/>
          <w:color w:val="auto"/>
        </w:rPr>
        <w:t>Harris v. Amgen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action filed another lawsuit captioned</w:t>
      </w:r>
      <w:r>
        <w:rPr>
          <w:rFonts w:ascii="Times New Roman" w:cs="Times New Roman" w:eastAsia="Times New Roman" w:hAnsi="Times New Roman"/>
          <w:sz w:val="18"/>
          <w:szCs w:val="18"/>
          <w:i w:val="1"/>
          <w:iCs w:val="1"/>
          <w:color w:val="auto"/>
        </w:rPr>
        <w:t xml:space="preserve"> Ramos v. Amgen Inc., et al., </w:t>
      </w:r>
      <w:r>
        <w:rPr>
          <w:rFonts w:ascii="Times New Roman" w:cs="Times New Roman" w:eastAsia="Times New Roman" w:hAnsi="Times New Roman"/>
          <w:sz w:val="18"/>
          <w:szCs w:val="18"/>
          <w:color w:val="auto"/>
        </w:rPr>
        <w:t>in the California Central District Court. The lawsuit is another ERISA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action. The </w:t>
      </w:r>
      <w:r>
        <w:rPr>
          <w:rFonts w:ascii="Times New Roman" w:cs="Times New Roman" w:eastAsia="Times New Roman" w:hAnsi="Times New Roman"/>
          <w:sz w:val="18"/>
          <w:szCs w:val="18"/>
          <w:i w:val="1"/>
          <w:iCs w:val="1"/>
          <w:color w:val="auto"/>
        </w:rPr>
        <w:t>Ramos v. Amgen Inc., et al</w:t>
      </w:r>
      <w:r>
        <w:rPr>
          <w:rFonts w:ascii="Times New Roman" w:cs="Times New Roman" w:eastAsia="Times New Roman" w:hAnsi="Times New Roman"/>
          <w:sz w:val="18"/>
          <w:szCs w:val="18"/>
          <w:color w:val="auto"/>
        </w:rPr>
        <w:t xml:space="preserve">., matter names the same defendants in the </w:t>
      </w:r>
      <w:r>
        <w:rPr>
          <w:rFonts w:ascii="Times New Roman" w:cs="Times New Roman" w:eastAsia="Times New Roman" w:hAnsi="Times New Roman"/>
          <w:sz w:val="18"/>
          <w:szCs w:val="18"/>
          <w:i w:val="1"/>
          <w:iCs w:val="1"/>
          <w:color w:val="auto"/>
        </w:rPr>
        <w:t>Harris v. Amgen Inc., et al.,</w:t>
      </w:r>
      <w:r>
        <w:rPr>
          <w:rFonts w:ascii="Times New Roman" w:cs="Times New Roman" w:eastAsia="Times New Roman" w:hAnsi="Times New Roman"/>
          <w:sz w:val="18"/>
          <w:szCs w:val="18"/>
          <w:color w:val="auto"/>
        </w:rPr>
        <w:t xml:space="preserve"> matter plus four new defendants: Amgen Manufacturing Limited, Richard Nanula, Dennis Fenton and the Fiduciary Committee of the Plans. On July 14, 2009, the Ninth Circuit Court reversed the California Central District Court's decision in the </w:t>
      </w:r>
      <w:r>
        <w:rPr>
          <w:rFonts w:ascii="Times New Roman" w:cs="Times New Roman" w:eastAsia="Times New Roman" w:hAnsi="Times New Roman"/>
          <w:sz w:val="18"/>
          <w:szCs w:val="18"/>
          <w:i w:val="1"/>
          <w:iCs w:val="1"/>
          <w:color w:val="auto"/>
        </w:rPr>
        <w:t>Harris</w:t>
      </w:r>
      <w:r>
        <w:rPr>
          <w:rFonts w:ascii="Times New Roman" w:cs="Times New Roman" w:eastAsia="Times New Roman" w:hAnsi="Times New Roman"/>
          <w:sz w:val="18"/>
          <w:szCs w:val="18"/>
          <w:color w:val="auto"/>
        </w:rPr>
        <w:t xml:space="preserve"> matter and remanded the case back to the California Central District Court. In the meantime, a third ERISA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20"/>
          </w:cols>
          <w:pgMar w:left="240" w:top="580" w:right="239" w:bottom="1440" w:gutter="0" w:footer="0" w:header="0"/>
        </w:sectPr>
      </w:pPr>
    </w:p>
    <w:bookmarkStart w:id="124" w:name="page125"/>
    <w:bookmarkEnd w:id="124"/>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class action was filed by Don Hanks on June 2, 2009 in the California Central District Court alleging the same ERISA violations as in the </w:t>
      </w:r>
      <w:r>
        <w:rPr>
          <w:rFonts w:ascii="Times New Roman" w:cs="Times New Roman" w:eastAsia="Times New Roman" w:hAnsi="Times New Roman"/>
          <w:sz w:val="18"/>
          <w:szCs w:val="18"/>
          <w:i w:val="1"/>
          <w:iCs w:val="1"/>
          <w:color w:val="auto"/>
        </w:rPr>
        <w:t>Harris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Ramos</w:t>
      </w:r>
      <w:r>
        <w:rPr>
          <w:rFonts w:ascii="Times New Roman" w:cs="Times New Roman" w:eastAsia="Times New Roman" w:hAnsi="Times New Roman"/>
          <w:sz w:val="18"/>
          <w:szCs w:val="18"/>
          <w:color w:val="auto"/>
        </w:rPr>
        <w:t xml:space="preserve"> lawsuits.</w:t>
      </w:r>
    </w:p>
    <w:p>
      <w:pPr>
        <w:spacing w:after="0" w:line="7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On August 10, 2009, the </w:t>
      </w:r>
      <w:r>
        <w:rPr>
          <w:rFonts w:ascii="Times New Roman" w:cs="Times New Roman" w:eastAsia="Times New Roman" w:hAnsi="Times New Roman"/>
          <w:sz w:val="18"/>
          <w:szCs w:val="18"/>
          <w:i w:val="1"/>
          <w:iCs w:val="1"/>
          <w:color w:val="auto"/>
        </w:rPr>
        <w:t>Harris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Ramos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Hanks</w:t>
      </w:r>
      <w:r>
        <w:rPr>
          <w:rFonts w:ascii="Times New Roman" w:cs="Times New Roman" w:eastAsia="Times New Roman" w:hAnsi="Times New Roman"/>
          <w:sz w:val="18"/>
          <w:szCs w:val="18"/>
          <w:color w:val="auto"/>
        </w:rPr>
        <w:t xml:space="preserve"> matters were consolidated by the California Central District Court into one action captioned </w:t>
      </w:r>
      <w:r>
        <w:rPr>
          <w:rFonts w:ascii="Times New Roman" w:cs="Times New Roman" w:eastAsia="Times New Roman" w:hAnsi="Times New Roman"/>
          <w:sz w:val="18"/>
          <w:szCs w:val="18"/>
          <w:i w:val="1"/>
          <w:iCs w:val="1"/>
          <w:color w:val="auto"/>
        </w:rPr>
        <w:t>Harris,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v. Amgen Inc. </w:t>
      </w:r>
      <w:r>
        <w:rPr>
          <w:rFonts w:ascii="Times New Roman" w:cs="Times New Roman" w:eastAsia="Times New Roman" w:hAnsi="Times New Roman"/>
          <w:sz w:val="18"/>
          <w:szCs w:val="18"/>
          <w:color w:val="auto"/>
        </w:rPr>
        <w:t>On October 13, 2009, the California Central District Court granted plaintiffs Harris' and Ramos' motion to be appointed interim co-lead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counsel. Plaintiffs filed an amended complaint on November 11, 2009 and added two additional plaintiffs, Jorge Torres and Albert Cappa. Amgen filed a motion to dismiss the amended/consolidated complaint, and on March 2, 2010, the California Central District Court dismissed the entire lawsuit without prejudice. Plaintiffs filed an amended complaint on March 23, 2010. Amgen then filed another motion to dismiss on April 20, 2010. On June 16, 2010, the California Central District Court entered an order dismissing the entire lawsuit with prejudice. On June 24, 2010, the plaintiffs filed a notice of appeal with the Ninth Circuit Court. On June 4, 2013, the Ninth Circuit Court reversed the decision of the California Central District Court and remanded the case back to the California Central District Court for further proceedings. On June 18, 2013, Amgen petitioned the Ninth Circuit Court for rehearing and/or rehearing </w:t>
      </w:r>
      <w:r>
        <w:rPr>
          <w:rFonts w:ascii="Times New Roman" w:cs="Times New Roman" w:eastAsia="Times New Roman" w:hAnsi="Times New Roman"/>
          <w:sz w:val="18"/>
          <w:szCs w:val="18"/>
          <w:i w:val="1"/>
          <w:iCs w:val="1"/>
          <w:color w:val="auto"/>
        </w:rPr>
        <w: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banc</w:t>
      </w:r>
      <w:r>
        <w:rPr>
          <w:rFonts w:ascii="Times New Roman" w:cs="Times New Roman" w:eastAsia="Times New Roman" w:hAnsi="Times New Roman"/>
          <w:sz w:val="18"/>
          <w:szCs w:val="18"/>
          <w:color w:val="auto"/>
        </w:rPr>
        <w:t>. The Ninth Circuit Court issued an amended opinion and denied Amgen’s petition for rehearing and rehearing</w:t>
      </w:r>
      <w:r>
        <w:rPr>
          <w:rFonts w:ascii="Times New Roman" w:cs="Times New Roman" w:eastAsia="Times New Roman" w:hAnsi="Times New Roman"/>
          <w:sz w:val="18"/>
          <w:szCs w:val="18"/>
          <w:i w:val="1"/>
          <w:iCs w:val="1"/>
          <w:color w:val="auto"/>
        </w:rPr>
        <w:t xml:space="preserve"> en banc </w:t>
      </w:r>
      <w:r>
        <w:rPr>
          <w:rFonts w:ascii="Times New Roman" w:cs="Times New Roman" w:eastAsia="Times New Roman" w:hAnsi="Times New Roman"/>
          <w:sz w:val="18"/>
          <w:szCs w:val="18"/>
          <w:color w:val="auto"/>
        </w:rPr>
        <w:t>on October 23, 2013. Amgen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moved for a stay of the mandate which the Ninth Circuit Court granted on November 5, 2013. A petition for certiorari was filed with the U.S. Supreme Court on January 21, 2014.</w:t>
      </w:r>
    </w:p>
    <w:p>
      <w:pPr>
        <w:spacing w:after="0" w:line="11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On June 30, 2014, the U.S. Supreme Court granted the petition for certiorari filed by Amgen and the other named defendants, vacated the judgment of the Ninth Circuit Court and remanded this case to the Ninth Circuit Court for reconsideration in light of the U.S. Supreme Court’s decision in </w:t>
      </w:r>
      <w:r>
        <w:rPr>
          <w:rFonts w:ascii="Times New Roman" w:cs="Times New Roman" w:eastAsia="Times New Roman" w:hAnsi="Times New Roman"/>
          <w:sz w:val="18"/>
          <w:szCs w:val="18"/>
          <w:i w:val="1"/>
          <w:iCs w:val="1"/>
          <w:color w:val="auto"/>
        </w:rPr>
        <w:t>Fifth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Bancorp v. Dudenhoeffer</w:t>
      </w:r>
      <w:r>
        <w:rPr>
          <w:rFonts w:ascii="Times New Roman" w:cs="Times New Roman" w:eastAsia="Times New Roman" w:hAnsi="Times New Roman"/>
          <w:sz w:val="18"/>
          <w:szCs w:val="18"/>
          <w:color w:val="auto"/>
        </w:rPr>
        <w:t>, decided June 25, 2014. In</w:t>
      </w:r>
      <w:r>
        <w:rPr>
          <w:rFonts w:ascii="Times New Roman" w:cs="Times New Roman" w:eastAsia="Times New Roman" w:hAnsi="Times New Roman"/>
          <w:sz w:val="18"/>
          <w:szCs w:val="18"/>
          <w:i w:val="1"/>
          <w:iCs w:val="1"/>
          <w:color w:val="auto"/>
        </w:rPr>
        <w:t xml:space="preserve"> Fifth Third</w:t>
      </w:r>
      <w:r>
        <w:rPr>
          <w:rFonts w:ascii="Times New Roman" w:cs="Times New Roman" w:eastAsia="Times New Roman" w:hAnsi="Times New Roman"/>
          <w:sz w:val="18"/>
          <w:szCs w:val="18"/>
          <w:color w:val="auto"/>
        </w:rPr>
        <w:t>, the U.S. Supreme Court held that no presumption of prudence exists for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ownership plan fiduciaries regardless of plan language and the court provided general guidance as to what factors courts should consider when assessing whether plan fiduciaries breached their duty of prudence owed to plan participants. On October 23, 2014, the Ninth Circuit Court reaffirmed its earlier decision of June 4, 2013. On November 13, 2014, Amgen filed a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Ninth Circuit Court.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4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lease certain facilities and equipment related primarily to administrative, R&amp;D, sales and marketing activities under non-cancelable operating leases that expire through 2032. The following table summarizes the minimum future rental commitments under non-cancelable operating leases as of December 31, 2014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minimum operating lease commitments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Included in the table above are future rental commitments for abandoned leases in the amount of $272 million. There were no material charges for lease abandonments related to the restructuring plan that commenced in 2014 (see Note 2, Restructuring and other cost saving initiatives). Rental expense on operating leases for the years ended December 31, 2014, 2013 and 2012, was $126 million, $125 million and $117 million,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57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operate in one business segment—human therapeutics. Therefore, results of our operations are reported on a consolidated basis for purposes of segment reporting, consistent with internal management reporting. Enterprise-wide disclosures about product sales; revenues and long-lived assets by geographic area; and revenues from major customers are presented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4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4,596</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4,092</w:t>
            </w:r>
          </w:p>
        </w:tc>
      </w:tr>
      <w:tr>
        <w:trPr>
          <w:trHeight w:val="270"/>
        </w:trPr>
        <w:tc>
          <w:tcPr>
            <w:tcW w:w="640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1,260</w:t>
            </w:r>
          </w:p>
        </w:tc>
      </w:tr>
      <w:tr>
        <w:trPr>
          <w:trHeight w:val="243"/>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ENBREL</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70"/>
        </w:trPr>
        <w:tc>
          <w:tcPr>
            <w:tcW w:w="64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9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w:t>
            </w:r>
          </w:p>
        </w:tc>
      </w:tr>
      <w:tr>
        <w:trPr>
          <w:trHeight w:val="270"/>
        </w:trPr>
        <w:tc>
          <w:tcPr>
            <w:tcW w:w="64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1,941</w:t>
            </w:r>
          </w:p>
        </w:tc>
      </w:tr>
      <w:tr>
        <w:trPr>
          <w:trHeight w:val="270"/>
        </w:trPr>
        <w:tc>
          <w:tcPr>
            <w:tcW w:w="64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p>
        </w:tc>
        <w:tc>
          <w:tcPr>
            <w:tcW w:w="9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2,040</w:t>
            </w:r>
          </w:p>
        </w:tc>
      </w:tr>
      <w:tr>
        <w:trPr>
          <w:trHeight w:val="270"/>
        </w:trPr>
        <w:tc>
          <w:tcPr>
            <w:tcW w:w="6400" w:type="dxa"/>
            <w:vAlign w:val="bottom"/>
            <w:shd w:val="clear" w:color="auto" w:fill="CCEEFF"/>
          </w:tcPr>
          <w:p>
            <w:pPr>
              <w:ind w:left="20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950</w:t>
            </w:r>
          </w:p>
        </w:tc>
      </w:tr>
      <w:tr>
        <w:trPr>
          <w:trHeight w:val="270"/>
        </w:trPr>
        <w:tc>
          <w:tcPr>
            <w:tcW w:w="64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p>
        </w:tc>
        <w:tc>
          <w:tcPr>
            <w:tcW w:w="9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r>
      <w:tr>
        <w:trPr>
          <w:trHeight w:val="270"/>
        </w:trPr>
        <w:tc>
          <w:tcPr>
            <w:tcW w:w="64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r>
      <w:tr>
        <w:trPr>
          <w:trHeight w:val="270"/>
        </w:trPr>
        <w:tc>
          <w:tcPr>
            <w:tcW w:w="64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p>
        </w:tc>
        <w:tc>
          <w:tcPr>
            <w:tcW w:w="96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4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BLINCYTO</w:t>
            </w:r>
            <w:r>
              <w:rPr>
                <w:rFonts w:ascii="Times New Roman" w:cs="Times New Roman" w:eastAsia="Times New Roman" w:hAnsi="Times New Roman"/>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16,639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20,063</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18,676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17,265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4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Outside the United States, we sell products principally in Europe and Canada. The geographic classification of product sales was based on the location of the customer. The geographic classification of all other revenues was based on the domicile of the entity from which the revenues were earned.</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Certain geographic information with respect to revenues and long-lived assets (consisting of property, plant and equipment) was as follows (in millions):</w:t>
      </w:r>
    </w:p>
    <w:p>
      <w:pPr>
        <w:spacing w:after="0" w:line="23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24765</wp:posOffset>
            </wp:positionV>
            <wp:extent cx="3173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5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15,396</w:t>
            </w:r>
          </w:p>
        </w:tc>
        <w:tc>
          <w:tcPr>
            <w:tcW w:w="12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13,415</w:t>
            </w:r>
          </w:p>
        </w:tc>
      </w:tr>
      <w:tr>
        <w:trPr>
          <w:trHeight w:val="27"/>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the world (ROW)</w:t>
            </w:r>
          </w:p>
        </w:tc>
        <w:tc>
          <w:tcPr>
            <w:tcW w:w="2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3,850</w:t>
            </w:r>
          </w:p>
        </w:tc>
      </w:tr>
      <w:tr>
        <w:trPr>
          <w:trHeight w:val="257"/>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6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20,063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18,676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17,265</w:t>
            </w:r>
          </w:p>
        </w:tc>
      </w:tr>
      <w:tr>
        <w:trPr>
          <w:trHeight w:val="20"/>
        </w:trPr>
        <w:tc>
          <w:tcPr>
            <w:tcW w:w="37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81"/>
        </w:trPr>
        <w:tc>
          <w:tcPr>
            <w:tcW w:w="3780" w:type="dxa"/>
            <w:vAlign w:val="bottom"/>
          </w:tcPr>
          <w:p>
            <w:pPr>
              <w:spacing w:after="0"/>
              <w:rPr>
                <w:sz w:val="24"/>
                <w:szCs w:val="24"/>
                <w:color w:val="auto"/>
              </w:rPr>
            </w:pPr>
          </w:p>
        </w:tc>
        <w:tc>
          <w:tcPr>
            <w:tcW w:w="358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F-49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Long-lived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2,772</w:t>
            </w:r>
          </w:p>
        </w:tc>
      </w:tr>
      <w:tr>
        <w:trPr>
          <w:trHeight w:val="27"/>
        </w:trPr>
        <w:tc>
          <w:tcPr>
            <w:tcW w:w="7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1,822</w:t>
            </w:r>
          </w:p>
        </w:tc>
      </w:tr>
      <w:tr>
        <w:trPr>
          <w:trHeight w:val="24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ROW</w:t>
            </w:r>
          </w:p>
        </w:tc>
        <w:tc>
          <w:tcPr>
            <w:tcW w:w="110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7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long-lived assets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5,349</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United States, we sell primarily to pharmaceutical wholesale distributors. We utilize those wholesale distributors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we limit our credit exposure by setting credit limits and, for certain circumstances, requiring letters of credit.</w:t>
      </w:r>
    </w:p>
    <w:p>
      <w:pPr>
        <w:spacing w:after="0" w:line="9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had product sales to three customers each accounting for more than 10% of total revenues for each of the years ended December 31, 2014, 2013 and 2012. For 2014, on a combined basis, these customers accounted for 77% and 94% of worldwide gross revenues and U.S. gross product sales, respectively, as noted in the following table. Certain information with respect to these customers was as follows (dollar amounts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AmerisourceBergen Corporation: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product sales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8,527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7,556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total gross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U.S. gross product sales</w:t>
            </w: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product sales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5,898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total gross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U.S. gross product sales</w:t>
            </w: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Cardinal Health, Inc.: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product sales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3,245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of total gross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of U.S. gross product sales</w:t>
            </w: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r>
    </w:tbl>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At December 31, 2014 and 2013, amounts due from these three customers each exceeded 10% of gross trade receivables and accounted for 69% and 63%, respectively, of net trade receivables on a combined basis. At December 31, 2014 and 2013, 30% and 35%, respectively, of trade receivables, net were due from customers located outside the United States, primarily in Europe. Our total allowance for doubtful accounts as of December 31, 2014 and 2013, was not material.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736"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20. Quarterly financial data (unaudited)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2014 Quarters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28"/>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60" w:type="dxa"/>
            <w:vAlign w:val="bottom"/>
          </w:tcPr>
          <w:p>
            <w:pPr>
              <w:spacing w:after="0"/>
              <w:rPr>
                <w:sz w:val="19"/>
                <w:szCs w:val="19"/>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4,356</w:t>
            </w:r>
          </w:p>
        </w:tc>
      </w:tr>
      <w:tr>
        <w:trPr>
          <w:trHeight w:val="243"/>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profit from product sales</w:t>
            </w:r>
          </w:p>
        </w:tc>
        <w:tc>
          <w:tcPr>
            <w:tcW w:w="26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3,266</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1,073</w:t>
            </w:r>
          </w:p>
        </w:tc>
      </w:tr>
      <w:tr>
        <w:trPr>
          <w:trHeight w:val="243"/>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r>
      <w:tr>
        <w:trPr>
          <w:trHeight w:val="292"/>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2013 Quarters ended</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8"/>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6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9"/>
                <w:szCs w:val="19"/>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4,151</w:t>
            </w:r>
          </w:p>
        </w:tc>
      </w:tr>
      <w:tr>
        <w:trPr>
          <w:trHeight w:val="243"/>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profit from product sales</w:t>
            </w:r>
          </w:p>
        </w:tc>
        <w:tc>
          <w:tcPr>
            <w:tcW w:w="26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3,407</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1,434</w:t>
            </w:r>
          </w:p>
        </w:tc>
      </w:tr>
      <w:tr>
        <w:trPr>
          <w:trHeight w:val="243"/>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40" w:type="dxa"/>
            <w:vAlign w:val="bottom"/>
          </w:tcPr>
          <w:p>
            <w:pPr>
              <w:spacing w:after="0"/>
              <w:rPr>
                <w:sz w:val="21"/>
                <w:szCs w:val="21"/>
                <w:color w:val="auto"/>
              </w:rPr>
            </w:pPr>
          </w:p>
        </w:tc>
        <w:tc>
          <w:tcPr>
            <w:tcW w:w="4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420"/>
          </w:cols>
          <w:pgMar w:left="240" w:top="576"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3"/>
          </w:tcPr>
          <w:p>
            <w:pPr>
              <w:jc w:val="center"/>
              <w:ind w:right="388"/>
              <w:spacing w:after="0"/>
              <w:rPr>
                <w:sz w:val="20"/>
                <w:szCs w:val="20"/>
                <w:color w:val="auto"/>
              </w:rPr>
            </w:pPr>
            <w:r>
              <w:rPr>
                <w:rFonts w:ascii="Times New Roman" w:cs="Times New Roman" w:eastAsia="Times New Roman" w:hAnsi="Times New Roman"/>
                <w:sz w:val="18"/>
                <w:szCs w:val="18"/>
                <w:b w:val="1"/>
                <w:bCs w:val="1"/>
                <w:color w:val="auto"/>
                <w:w w:val="99"/>
              </w:rPr>
              <w:t>AMGEN INC.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VALUATION AND QUALIFYING ACCOUNTS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2014, 2013 and 2012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3"/>
          </w:tcPr>
          <w:p>
            <w:pPr>
              <w:jc w:val="center"/>
              <w:ind w:right="388"/>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060" w:type="dxa"/>
            <w:vAlign w:val="bottom"/>
          </w:tcPr>
          <w:p>
            <w:pPr>
              <w:spacing w:after="0"/>
              <w:rPr>
                <w:sz w:val="12"/>
                <w:szCs w:val="12"/>
                <w:color w:val="auto"/>
              </w:rPr>
            </w:pPr>
          </w:p>
        </w:tc>
        <w:tc>
          <w:tcPr>
            <w:tcW w:w="10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2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0"/>
        </w:trPr>
        <w:tc>
          <w:tcPr>
            <w:tcW w:w="306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jc w:val="center"/>
              <w:ind w:left="308"/>
              <w:spacing w:after="0" w:line="160" w:lineRule="exact"/>
              <w:rPr>
                <w:sz w:val="20"/>
                <w:szCs w:val="20"/>
                <w:color w:val="auto"/>
              </w:rPr>
            </w:pPr>
            <w:r>
              <w:rPr>
                <w:rFonts w:ascii="Times New Roman" w:cs="Times New Roman" w:eastAsia="Times New Roman" w:hAnsi="Times New Roman"/>
                <w:sz w:val="14"/>
                <w:szCs w:val="14"/>
                <w:b w:val="1"/>
                <w:bCs w:val="1"/>
                <w:color w:val="auto"/>
                <w:w w:val="99"/>
              </w:rPr>
              <w:t>of period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208"/>
              <w:spacing w:after="0" w:line="160" w:lineRule="exact"/>
              <w:rPr>
                <w:sz w:val="20"/>
                <w:szCs w:val="20"/>
                <w:color w:val="auto"/>
              </w:rPr>
            </w:pPr>
            <w:r>
              <w:rPr>
                <w:rFonts w:ascii="Times New Roman" w:cs="Times New Roman" w:eastAsia="Times New Roman" w:hAnsi="Times New Roman"/>
                <w:sz w:val="14"/>
                <w:szCs w:val="14"/>
                <w:b w:val="1"/>
                <w:bCs w:val="1"/>
                <w:color w:val="auto"/>
                <w:w w:val="99"/>
              </w:rPr>
              <w:t>expenses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1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tcBorders>
              <w:bottom w:val="single" w:sz="8" w:color="CCEEFF"/>
            </w:tcBorders>
            <w:gridSpan w:val="2"/>
            <w:shd w:val="clear" w:color="auto" w:fill="CCEEFF"/>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1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1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210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180" w:type="dxa"/>
            <w:vAlign w:val="bottom"/>
            <w:tcBorders>
              <w:bottom w:val="single" w:sz="8" w:color="CCEEFF"/>
            </w:tcBorders>
            <w:gridSpan w:val="2"/>
            <w:shd w:val="clear" w:color="auto" w:fill="CCEEFF"/>
          </w:tcPr>
          <w:p>
            <w:pPr>
              <w:jc w:val="center"/>
              <w:ind w:right="7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center"/>
              <w:ind w:right="768"/>
              <w:spacing w:after="0"/>
              <w:rPr>
                <w:sz w:val="20"/>
                <w:szCs w:val="20"/>
                <w:color w:val="auto"/>
              </w:rPr>
            </w:pPr>
            <w:r>
              <w:rPr>
                <w:rFonts w:ascii="Times New Roman" w:cs="Times New Roman" w:eastAsia="Times New Roman" w:hAnsi="Times New Roman"/>
                <w:sz w:val="18"/>
                <w:szCs w:val="18"/>
                <w:color w:val="auto"/>
                <w:w w:val="99"/>
              </w:rPr>
              <w:t>F-52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Award Notice</w:t>
      </w:r>
    </w:p>
    <w:p>
      <w:pPr>
        <w:spacing w:after="0" w:line="2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website of any successor company to Merrill Lynch Bank &amp; Trust Co., FSB). This Award Notice shall be replaced by the equivalent pages on such website. References to Award Notice in this Agreement shall then refer to the equivalent pages on such website </w:t>
      </w:r>
      <w:r>
        <w:rPr>
          <w:rFonts w:ascii="Times New Roman" w:cs="Times New Roman" w:eastAsia="Times New Roman" w:hAnsi="Times New Roman"/>
          <w:sz w:val="22"/>
          <w:szCs w:val="22"/>
          <w:b w:val="1"/>
          <w:bCs w:val="1"/>
          <w:color w:val="auto"/>
        </w:rPr>
        <w: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notice of Award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Employee: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Employee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Award Type: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Grant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Plan:</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Amgen Inc. Amended and Restated 2009 Equity Incentive Plan, as amended and/or restated from</w:t>
            </w:r>
          </w:p>
        </w:tc>
        <w:tc>
          <w:tcPr>
            <w:tcW w:w="0" w:type="dxa"/>
            <w:vAlign w:val="bottom"/>
          </w:tcPr>
          <w:p>
            <w:pPr>
              <w:spacing w:after="0"/>
              <w:rPr>
                <w:sz w:val="1"/>
                <w:szCs w:val="1"/>
                <w:color w:val="auto"/>
              </w:rPr>
            </w:pPr>
          </w:p>
        </w:tc>
      </w:tr>
      <w:tr>
        <w:trPr>
          <w:trHeight w:val="283"/>
        </w:trPr>
        <w:tc>
          <w:tcPr>
            <w:tcW w:w="2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Grant Date: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time to time</w:t>
            </w:r>
          </w:p>
        </w:tc>
        <w:tc>
          <w:tcPr>
            <w:tcW w:w="0" w:type="dxa"/>
            <w:vAlign w:val="bottom"/>
          </w:tcPr>
          <w:p>
            <w:pPr>
              <w:spacing w:after="0"/>
              <w:rPr>
                <w:sz w:val="1"/>
                <w:szCs w:val="1"/>
                <w:color w:val="auto"/>
              </w:rPr>
            </w:pPr>
          </w:p>
        </w:tc>
      </w:tr>
      <w:tr>
        <w:trPr>
          <w:trHeight w:val="244"/>
        </w:trPr>
        <w:tc>
          <w:tcPr>
            <w:tcW w:w="2120" w:type="dxa"/>
            <w:vAlign w:val="bottom"/>
            <w:vMerge w:val="continue"/>
          </w:tcPr>
          <w:p>
            <w:pPr>
              <w:spacing w:after="0"/>
              <w:rPr>
                <w:sz w:val="21"/>
                <w:szCs w:val="21"/>
                <w:color w:val="auto"/>
              </w:rPr>
            </w:pPr>
          </w:p>
        </w:tc>
        <w:tc>
          <w:tcPr>
            <w:tcW w:w="9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Grant Price: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$________</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Number of Units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Date: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Means the vesting date indicated in the Vesting Schedule</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Means the schedule of vesting set forth under Vesting Details</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Vesting Details:</w:t>
            </w:r>
          </w:p>
        </w:tc>
        <w:tc>
          <w:tcPr>
            <w:tcW w:w="93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IMPORTANT NOTICE REGARDING ACCEPTANCE OF THE AWARD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RESIDENTS OF THE U.S. AND PUERTO RICO</w:t>
      </w:r>
      <w:r>
        <w:rPr>
          <w:rFonts w:ascii="Times New Roman" w:cs="Times New Roman" w:eastAsia="Times New Roman" w:hAnsi="Times New Roman"/>
          <w:sz w:val="22"/>
          <w:szCs w:val="22"/>
          <w:color w:val="auto"/>
        </w:rPr>
        <w:t>: Please read this Award Notice, the Plan and the Agreement (collectively,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Documents</w:t>
      </w:r>
      <w:r>
        <w:rPr>
          <w:rFonts w:ascii="Times New Roman" w:cs="Times New Roman" w:eastAsia="Times New Roman" w:hAnsi="Times New Roman"/>
          <w:sz w:val="22"/>
          <w:szCs w:val="22"/>
          <w:color w:val="auto"/>
        </w:rPr>
        <w:t xml:space="preserve">”) carefully. If you, as a resident of the U.S. or Puerto Rico,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wish to receive this Award and/or you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w:t>
      </w:r>
    </w:p>
    <w:p>
      <w:pPr>
        <w:spacing w:after="0" w:line="230" w:lineRule="auto"/>
        <w:rPr>
          <w:sz w:val="20"/>
          <w:szCs w:val="20"/>
          <w:color w:val="auto"/>
        </w:rPr>
      </w:pPr>
      <w:r>
        <w:rPr>
          <w:rFonts w:ascii="Times New Roman" w:cs="Times New Roman" w:eastAsia="Times New Roman" w:hAnsi="Times New Roman"/>
          <w:sz w:val="22"/>
          <w:szCs w:val="22"/>
          <w:color w:val="auto"/>
        </w:rPr>
        <w:t>_________________________</w:t>
      </w: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i w:val="1"/>
          <w:iCs w:val="1"/>
          <w:color w:val="auto"/>
        </w:rPr>
        <w:t>This provision is only for use on the form of grant used for the U.S. and Puerto Rico.</w:t>
      </w:r>
    </w:p>
    <w:p>
      <w:pPr>
        <w:sectPr>
          <w:pgSz w:w="11900" w:h="16838" w:orient="portrait"/>
          <w:cols w:equalWidth="0" w:num="1">
            <w:col w:w="11420"/>
          </w:cols>
          <w:pgMar w:left="240" w:top="117"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Times New Roman" w:cs="Times New Roman" w:eastAsia="Times New Roman" w:hAnsi="Times New Roman"/>
          <w:sz w:val="22"/>
          <w:szCs w:val="22"/>
          <w:b w:val="1"/>
          <w:bCs w:val="1"/>
          <w:u w:val="single" w:color="auto"/>
          <w:color w:val="auto"/>
        </w:rPr>
        <w:t>AWARD NOTICE</w:t>
      </w:r>
      <w:r>
        <w:rPr>
          <w:rFonts w:ascii="Times New Roman" w:cs="Times New Roman" w:eastAsia="Times New Roman" w:hAnsi="Times New Roman"/>
          <w:sz w:val="22"/>
          <w:szCs w:val="22"/>
          <w:b w:val="1"/>
          <w:bCs w:val="1"/>
          <w:color w:val="auto"/>
        </w:rPr>
        <w:t>”) WHICH ACCOMPANIES THIS DOCUMENT. THE TERMS OF THE AWARD NOTICE ARE INCORPORATED INTO THIS RESTRICTED STOCK UNIT AGREEMENT.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Number of Units with respect to the number of shares of the $0.0001 par value common stock of the Company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xml:space="preserve">”) specified in the Award Notice, on the terms and conditions set forth in this Restricted Stock Unit Agreement, any special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and the Award Notice (together,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215" w:lineRule="exact"/>
        <w:rPr>
          <w:sz w:val="20"/>
          <w:szCs w:val="20"/>
          <w:color w:val="auto"/>
        </w:rPr>
      </w:pPr>
    </w:p>
    <w:p>
      <w:pPr>
        <w:ind w:left="1440" w:hanging="784"/>
        <w:spacing w:after="0"/>
        <w:tabs>
          <w:tab w:leader="none" w:pos="14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 and Termination of Units</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jc w:val="both"/>
        <w:ind w:left="980" w:hanging="324"/>
        <w:spacing w:after="0" w:line="246" w:lineRule="auto"/>
        <w:tabs>
          <w:tab w:leader="none" w:pos="9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General. </w:t>
      </w:r>
      <w:r>
        <w:rPr>
          <w:rFonts w:ascii="Times New Roman" w:cs="Times New Roman" w:eastAsia="Times New Roman" w:hAnsi="Times New Roman"/>
          <w:sz w:val="21"/>
          <w:szCs w:val="21"/>
          <w:color w:val="auto"/>
        </w:rPr>
        <w:t>Subject to the terms and conditions of this Agreement, on each Vesting Date, the Number of Units indicated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(e) or (f) of this Section I below, your unvested Units shall automatically expire and terminate on the date of termination of your active employment. Notwithstanding anything herein to the contrary, the Vesting Schedule</w:t>
      </w:r>
    </w:p>
    <w:p>
      <w:pPr>
        <w:spacing w:after="0" w:line="5" w:lineRule="exact"/>
        <w:rPr>
          <w:sz w:val="20"/>
          <w:szCs w:val="20"/>
          <w:color w:val="auto"/>
        </w:rPr>
      </w:pPr>
    </w:p>
    <w:p>
      <w:pPr>
        <w:jc w:val="both"/>
        <w:ind w:left="980"/>
        <w:spacing w:after="0" w:line="243" w:lineRule="auto"/>
        <w:rPr>
          <w:sz w:val="20"/>
          <w:szCs w:val="20"/>
          <w:color w:val="auto"/>
        </w:rPr>
      </w:pPr>
      <w:r>
        <w:rPr>
          <w:rFonts w:ascii="Times New Roman" w:cs="Times New Roman" w:eastAsia="Times New Roman" w:hAnsi="Times New Roman"/>
          <w:sz w:val="22"/>
          <w:szCs w:val="22"/>
          <w:color w:val="auto"/>
        </w:rPr>
        <w:t>may be accelerated (by notice in writing) by the Company in its sole discretion at any time during the term of the Units. In addition, if not prohibited by local law, vesting may be suspended by the Company in its sole discretion during a leave of absence as provided from time to time according to Company policies and practices.</w:t>
      </w:r>
    </w:p>
    <w:p>
      <w:pPr>
        <w:spacing w:after="0" w:line="228" w:lineRule="auto"/>
        <w:rPr>
          <w:sz w:val="20"/>
          <w:szCs w:val="20"/>
          <w:color w:val="auto"/>
        </w:rPr>
      </w:pPr>
      <w:r>
        <w:rPr>
          <w:rFonts w:ascii="Times New Roman" w:cs="Times New Roman" w:eastAsia="Times New Roman" w:hAnsi="Times New Roman"/>
          <w:sz w:val="22"/>
          <w:szCs w:val="22"/>
          <w:color w:val="auto"/>
        </w:rPr>
        <w:t>_____________________________</w:t>
      </w:r>
    </w:p>
    <w:p>
      <w:pPr>
        <w:spacing w:after="0" w:line="1" w:lineRule="exact"/>
        <w:rPr>
          <w:sz w:val="20"/>
          <w:szCs w:val="20"/>
          <w:color w:val="auto"/>
        </w:rPr>
      </w:pPr>
    </w:p>
    <w:p>
      <w:pPr>
        <w:jc w:val="both"/>
        <w:ind w:firstLine="8"/>
        <w:spacing w:after="0" w:line="225" w:lineRule="auto"/>
        <w:tabs>
          <w:tab w:leader="none" w:pos="132" w:val="left"/>
        </w:tabs>
        <w:numPr>
          <w:ilvl w:val="0"/>
          <w:numId w:val="4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5" w:right="239" w:bottom="1440" w:gutter="0" w:footer="0" w:header="0"/>
        </w:sectPr>
      </w:pPr>
    </w:p>
    <w:bookmarkStart w:id="131" w:name="page132"/>
    <w:bookmarkEnd w:id="131"/>
    <w:p>
      <w:pPr>
        <w:jc w:val="both"/>
        <w:ind w:left="980" w:hanging="324"/>
        <w:spacing w:after="0" w:line="261" w:lineRule="auto"/>
        <w:tabs>
          <w:tab w:leader="none" w:pos="9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Permanent and Total Disability. </w:t>
      </w:r>
      <w:r>
        <w:rPr>
          <w:rFonts w:ascii="Times New Roman" w:cs="Times New Roman" w:eastAsia="Times New Roman" w:hAnsi="Times New Roman"/>
          <w:sz w:val="21"/>
          <w:szCs w:val="21"/>
          <w:color w:val="auto"/>
        </w:rPr>
        <w:t>Notwithstanding the provisions in paragraph (a) above, if your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08" w:lineRule="exact"/>
        <w:rPr>
          <w:rFonts w:ascii="Times New Roman" w:cs="Times New Roman" w:eastAsia="Times New Roman" w:hAnsi="Times New Roman"/>
          <w:sz w:val="21"/>
          <w:szCs w:val="21"/>
          <w:color w:val="auto"/>
        </w:rPr>
      </w:pPr>
    </w:p>
    <w:p>
      <w:pPr>
        <w:jc w:val="both"/>
        <w:ind w:left="980" w:hanging="324"/>
        <w:spacing w:after="0" w:line="248" w:lineRule="auto"/>
        <w:tabs>
          <w:tab w:leader="none" w:pos="9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Notwithstanding the provisions in paragraph (a) above, if your employment with the Company or an Affiliate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22"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Notwithstanding the provisions in paragraph (a) above, if you terminate your employment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(“Voluntary Termination”), then the Units will vest pursuant to the Vesting Schedule without regard to the termination of employment prior to the Vesting Date, subject to your execution of a general release and waiver in a form provided by the Company, with respect to all Units granted hereunder; provided, however, that if the Units were granted in the calendar year in which the Voluntary Termination occurs, the Units will vest pursuant to the Vesting Schedule provided in the Award Notice only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4" w:lineRule="exact"/>
        <w:rPr>
          <w:sz w:val="20"/>
          <w:szCs w:val="20"/>
          <w:color w:val="auto"/>
        </w:rPr>
      </w:pPr>
    </w:p>
    <w:p>
      <w:pPr>
        <w:jc w:val="both"/>
        <w:ind w:left="980"/>
        <w:spacing w:after="0" w:line="227" w:lineRule="auto"/>
        <w:rPr>
          <w:sz w:val="20"/>
          <w:szCs w:val="20"/>
          <w:color w:val="auto"/>
        </w:rPr>
      </w:pPr>
      <w:r>
        <w:rPr>
          <w:rFonts w:ascii="Times New Roman" w:cs="Times New Roman" w:eastAsia="Times New Roman" w:hAnsi="Times New Roman"/>
          <w:sz w:val="22"/>
          <w:szCs w:val="22"/>
          <w:color w:val="auto"/>
        </w:rPr>
        <w:t>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Times New Roman" w:cs="Times New Roman" w:eastAsia="Times New Roman" w:hAnsi="Times New Roman"/>
          <w:sz w:val="28"/>
          <w:szCs w:val="28"/>
          <w:color w:val="auto"/>
          <w:vertAlign w:val="superscript"/>
        </w:rPr>
        <w:t>3</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_____________________________</w:t>
      </w:r>
    </w:p>
    <w:p>
      <w:pPr>
        <w:jc w:val="both"/>
        <w:ind w:firstLine="8"/>
        <w:spacing w:after="0" w:line="225" w:lineRule="auto"/>
        <w:tabs>
          <w:tab w:leader="none" w:pos="132" w:val="left"/>
        </w:tabs>
        <w:numPr>
          <w:ilvl w:val="0"/>
          <w:numId w:val="4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5" w:right="239" w:bottom="1440" w:gutter="0" w:footer="0" w:header="0"/>
        </w:sectPr>
      </w:pPr>
    </w:p>
    <w:bookmarkStart w:id="132" w:name="page133"/>
    <w:bookmarkEnd w:id="132"/>
    <w:p>
      <w:pPr>
        <w:jc w:val="both"/>
        <w:ind w:left="980" w:hanging="324"/>
        <w:spacing w:after="0" w:line="277" w:lineRule="auto"/>
        <w:tabs>
          <w:tab w:leader="none" w:pos="9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Qualified Termination after a Change of Control</w:t>
      </w:r>
      <w:r>
        <w:rPr>
          <w:rFonts w:ascii="Times New Roman" w:cs="Times New Roman" w:eastAsia="Times New Roman" w:hAnsi="Times New Roman"/>
          <w:sz w:val="21"/>
          <w:szCs w:val="21"/>
          <w:color w:val="auto"/>
        </w:rPr>
        <w:t>. Notwithstanding the provisions in paragraph (a) above, in the event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Qualified Termination (as defined below), then, to the extent permitted by applicable law, the vesting of Units granted under this Agreement shall be accelerated to vest as of the day immediately prior to the Qualified Termination.</w:t>
      </w:r>
    </w:p>
    <w:p>
      <w:pPr>
        <w:spacing w:after="0" w:line="190" w:lineRule="exact"/>
        <w:rPr>
          <w:rFonts w:ascii="Times New Roman" w:cs="Times New Roman" w:eastAsia="Times New Roman" w:hAnsi="Times New Roman"/>
          <w:sz w:val="21"/>
          <w:szCs w:val="21"/>
          <w:color w:val="auto"/>
        </w:rPr>
      </w:pPr>
    </w:p>
    <w:p>
      <w:pPr>
        <w:jc w:val="both"/>
        <w:ind w:left="980" w:hanging="324"/>
        <w:spacing w:after="0" w:line="254" w:lineRule="auto"/>
        <w:tabs>
          <w:tab w:leader="none" w:pos="9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Continued Vesting</w:t>
      </w:r>
      <w:r>
        <w:rPr>
          <w:rFonts w:ascii="Times New Roman" w:cs="Times New Roman" w:eastAsia="Times New Roman" w:hAnsi="Times New Roman"/>
          <w:sz w:val="22"/>
          <w:szCs w:val="22"/>
          <w:color w:val="auto"/>
        </w:rPr>
        <w:t>. Notwithstanding the provisions in paragraph (a) above, the Company may in its sole discretion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60" w:lineRule="exact"/>
        <w:rPr>
          <w:sz w:val="20"/>
          <w:szCs w:val="20"/>
          <w:color w:val="auto"/>
        </w:rPr>
      </w:pPr>
    </w:p>
    <w:p>
      <w:pPr>
        <w:jc w:val="both"/>
        <w:ind w:firstLine="656"/>
        <w:spacing w:after="0" w:line="260" w:lineRule="auto"/>
        <w:tabs>
          <w:tab w:leader="none" w:pos="90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your active employment</w:t>
      </w:r>
      <w:r>
        <w:rPr>
          <w:rFonts w:ascii="Times New Roman" w:cs="Times New Roman" w:eastAsia="Times New Roman" w:hAnsi="Times New Roman"/>
          <w:sz w:val="21"/>
          <w:szCs w:val="21"/>
          <w:color w:val="auto"/>
        </w:rPr>
        <w:t>” shall mean the last date that you are either an active employee of the Company or an Affiliate or actively engaged as a Consultant or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mandated under local law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active employment would not include any period of “garden leave” or similar period mandated under employment laws in the jurisdiction where you are employed or the terms of your employment agreement, if any). The Company shall have exclusive discretion to determine when you are no longer actively providing services for purposes of the Units (including whether you may still be considered to be providing services while on a leave of absence);</w:t>
      </w:r>
    </w:p>
    <w:p>
      <w:pPr>
        <w:spacing w:after="0" w:line="211" w:lineRule="exact"/>
        <w:rPr>
          <w:rFonts w:ascii="Times New Roman" w:cs="Times New Roman" w:eastAsia="Times New Roman" w:hAnsi="Times New Roman"/>
          <w:sz w:val="21"/>
          <w:szCs w:val="21"/>
          <w:color w:val="auto"/>
        </w:rPr>
      </w:pPr>
    </w:p>
    <w:p>
      <w:pPr>
        <w:jc w:val="both"/>
        <w:ind w:firstLine="656"/>
        <w:spacing w:after="0" w:line="250" w:lineRule="auto"/>
        <w:tabs>
          <w:tab w:leader="none" w:pos="100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222" w:lineRule="exact"/>
        <w:rPr>
          <w:rFonts w:ascii="Times New Roman" w:cs="Times New Roman" w:eastAsia="Times New Roman" w:hAnsi="Times New Roman"/>
          <w:sz w:val="22"/>
          <w:szCs w:val="22"/>
          <w:color w:val="auto"/>
        </w:rPr>
      </w:pPr>
    </w:p>
    <w:p>
      <w:pPr>
        <w:jc w:val="both"/>
        <w:ind w:firstLine="656"/>
        <w:spacing w:after="0" w:line="250" w:lineRule="auto"/>
        <w:tabs>
          <w:tab w:leader="none" w:pos="10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and Total Disability</w:t>
      </w:r>
      <w:r>
        <w:rPr>
          <w:rFonts w:ascii="Times New Roman" w:cs="Times New Roman" w:eastAsia="Times New Roman" w:hAnsi="Times New Roman"/>
          <w:sz w:val="22"/>
          <w:szCs w:val="22"/>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222"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Termination</w:t>
      </w:r>
      <w:r>
        <w:rPr>
          <w:rFonts w:ascii="Times New Roman" w:cs="Times New Roman" w:eastAsia="Times New Roman" w:hAnsi="Times New Roman"/>
          <w:sz w:val="22"/>
          <w:szCs w:val="22"/>
          <w:color w:val="auto"/>
        </w:rPr>
        <w:t>” shall mean</w:t>
      </w:r>
    </w:p>
    <w:p>
      <w:pPr>
        <w:spacing w:after="0" w:line="260" w:lineRule="exact"/>
        <w:rPr>
          <w:rFonts w:ascii="Times New Roman" w:cs="Times New Roman" w:eastAsia="Times New Roman" w:hAnsi="Times New Roman"/>
          <w:sz w:val="22"/>
          <w:szCs w:val="22"/>
          <w:color w:val="auto"/>
        </w:rPr>
      </w:pPr>
    </w:p>
    <w:p>
      <w:pPr>
        <w:jc w:val="both"/>
        <w:ind w:left="1960" w:hanging="655"/>
        <w:spacing w:after="0" w:line="252" w:lineRule="auto"/>
        <w:tabs>
          <w:tab w:leader="none" w:pos="19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1" w:right="239" w:bottom="1440" w:gutter="0" w:footer="0" w:header="0"/>
        </w:sectPr>
      </w:pPr>
    </w:p>
    <w:bookmarkStart w:id="133" w:name="page134"/>
    <w:bookmarkEnd w:id="133"/>
    <w:p>
      <w:pPr>
        <w:jc w:val="both"/>
        <w:ind w:left="1960" w:hanging="655"/>
        <w:spacing w:after="0" w:line="257" w:lineRule="auto"/>
        <w:tabs>
          <w:tab w:leader="none" w:pos="19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21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occurrence of any of the following:</w:t>
      </w:r>
    </w:p>
    <w:p>
      <w:pPr>
        <w:spacing w:after="0" w:line="219" w:lineRule="exact"/>
        <w:rPr>
          <w:rFonts w:ascii="Times New Roman" w:cs="Times New Roman" w:eastAsia="Times New Roman" w:hAnsi="Times New Roman"/>
          <w:sz w:val="22"/>
          <w:szCs w:val="22"/>
          <w:color w:val="auto"/>
        </w:rPr>
      </w:pPr>
    </w:p>
    <w:p>
      <w:pPr>
        <w:jc w:val="both"/>
        <w:ind w:firstLine="980"/>
        <w:spacing w:after="0" w:line="249" w:lineRule="auto"/>
        <w:tabs>
          <w:tab w:leader="none" w:pos="160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80" w:lineRule="exact"/>
        <w:rPr>
          <w:rFonts w:ascii="Times New Roman" w:cs="Times New Roman" w:eastAsia="Times New Roman" w:hAnsi="Times New Roman"/>
          <w:sz w:val="22"/>
          <w:szCs w:val="22"/>
          <w:color w:val="auto"/>
        </w:rPr>
      </w:pPr>
    </w:p>
    <w:p>
      <w:pPr>
        <w:jc w:val="both"/>
        <w:ind w:firstLine="980"/>
        <w:spacing w:after="0" w:line="248" w:lineRule="auto"/>
        <w:tabs>
          <w:tab w:leader="none" w:pos="136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April 2, 1991, constitute the Board (the “Incumbent Board”) cease for any reason to constitute at least a majority of the Board, provided that any person becoming a director subsequent to April 2, 1991,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Exchange Act) shall be, for purposes of the Plan, considered as though such person were a member of the Incumbent Board; or</w:t>
      </w:r>
    </w:p>
    <w:p>
      <w:pPr>
        <w:spacing w:after="0" w:line="182" w:lineRule="exact"/>
        <w:rPr>
          <w:rFonts w:ascii="Times New Roman" w:cs="Times New Roman" w:eastAsia="Times New Roman" w:hAnsi="Times New Roman"/>
          <w:sz w:val="22"/>
          <w:szCs w:val="22"/>
          <w:color w:val="auto"/>
        </w:rPr>
      </w:pPr>
    </w:p>
    <w:p>
      <w:pPr>
        <w:jc w:val="both"/>
        <w:ind w:firstLine="980"/>
        <w:spacing w:after="0" w:line="250" w:lineRule="auto"/>
        <w:tabs>
          <w:tab w:leader="none" w:pos="166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(B), (C) or (D) above must also constitute a “change in control event,” as defined in U.S. Treasury Regulation § 1.409A-3(i)(5), in order to constitute a Change of Control for purposes of payment of such Unit.</w:t>
      </w:r>
    </w:p>
    <w:p>
      <w:pPr>
        <w:spacing w:after="0" w:line="222" w:lineRule="exact"/>
        <w:rPr>
          <w:sz w:val="20"/>
          <w:szCs w:val="20"/>
          <w:color w:val="auto"/>
        </w:rPr>
      </w:pPr>
    </w:p>
    <w:p>
      <w:pPr>
        <w:jc w:val="both"/>
        <w:ind w:firstLine="656"/>
        <w:spacing w:after="0" w:line="250" w:lineRule="auto"/>
        <w:tabs>
          <w:tab w:leader="none" w:pos="119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Plan</w:t>
      </w:r>
      <w:r>
        <w:rPr>
          <w:rFonts w:ascii="Times New Roman" w:cs="Times New Roman" w:eastAsia="Times New Roman" w:hAnsi="Times New Roman"/>
          <w:sz w:val="22"/>
          <w:szCs w:val="22"/>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3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be determined in accordance with the Company’s long-term disability plan as in effect immediately prior to a Change of Control.</w:t>
      </w:r>
    </w:p>
    <w:p>
      <w:pPr>
        <w:spacing w:after="0" w:line="158" w:lineRule="exact"/>
        <w:rPr>
          <w:sz w:val="20"/>
          <w:szCs w:val="20"/>
          <w:color w:val="auto"/>
        </w:rPr>
      </w:pPr>
    </w:p>
    <w:p>
      <w:pPr>
        <w:ind w:firstLine="656"/>
        <w:spacing w:after="0" w:line="271" w:lineRule="auto"/>
        <w:tabs>
          <w:tab w:leader="none" w:pos="14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Subject to satisfaction of tax or similar obligations as provided for in Section III, any vested Units shall be paid by the Company in Shares (on a one-to-one basis) on, or as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134" w:name="page135"/>
    <w:bookmarkEnd w:id="134"/>
    <w:p>
      <w:pPr>
        <w:jc w:val="both"/>
        <w:spacing w:after="0" w:line="239" w:lineRule="auto"/>
        <w:rPr>
          <w:sz w:val="20"/>
          <w:szCs w:val="20"/>
          <w:color w:val="auto"/>
        </w:rPr>
      </w:pPr>
      <w:r>
        <w:rPr>
          <w:rFonts w:ascii="Times New Roman" w:cs="Times New Roman" w:eastAsia="Times New Roman" w:hAnsi="Times New Roman"/>
          <w:sz w:val="22"/>
          <w:szCs w:val="22"/>
          <w:color w:val="auto"/>
        </w:rPr>
        <w:t>soon as practicable after, and in any event within 90 days after the applicable Vesting Date, which for purposes of this Section II, includes the date of any accelerated vesting, if any (the “</w:t>
      </w:r>
      <w:r>
        <w:rPr>
          <w:rFonts w:ascii="Times New Roman" w:cs="Times New Roman" w:eastAsia="Times New Roman" w:hAnsi="Times New Roman"/>
          <w:sz w:val="22"/>
          <w:szCs w:val="22"/>
          <w:u w:val="single" w:color="auto"/>
          <w:color w:val="auto"/>
        </w:rPr>
        <w:t>Settlement Period</w:t>
      </w:r>
      <w:r>
        <w:rPr>
          <w:rFonts w:ascii="Times New Roman" w:cs="Times New Roman" w:eastAsia="Times New Roman" w:hAnsi="Times New Roman"/>
          <w:sz w:val="22"/>
          <w:szCs w:val="22"/>
          <w:color w:val="auto"/>
        </w:rPr>
        <w:t>”). [(For the avoidance of doubt, in the event that any Units continue to vest following a Voluntary Termination in accordance with Section 1(d) above, the Vesting Date(s) for purposes of payments pursuant to this Section II shall be the regularly scheduled Vesting Dates following such termination.]*</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paid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35" w:lineRule="exact"/>
        <w:rPr>
          <w:sz w:val="20"/>
          <w:szCs w:val="20"/>
          <w:color w:val="auto"/>
        </w:rPr>
      </w:pPr>
    </w:p>
    <w:p>
      <w:pPr>
        <w:jc w:val="both"/>
        <w:ind w:firstLine="656"/>
        <w:spacing w:after="0" w:line="258" w:lineRule="auto"/>
        <w:tabs>
          <w:tab w:leader="none" w:pos="156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 Issuance of Certificates</w:t>
      </w:r>
      <w:r>
        <w:rPr>
          <w:rFonts w:ascii="Times New Roman" w:cs="Times New Roman" w:eastAsia="Times New Roman" w:hAnsi="Times New Roman"/>
          <w:sz w:val="21"/>
          <w:szCs w:val="21"/>
          <w:color w:val="auto"/>
        </w:rPr>
        <w:t>. Regardless of any action the Company or your actual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Units, including the grant of the Units, the vesting of Units, the conversion of the Units into Shares or the receipt of an equivalent cash payment, the subsequent sale of any Shares acquired at vesting and the receipt of any dividends, and</w:t>
      </w:r>
    </w:p>
    <w:p>
      <w:pPr>
        <w:jc w:val="both"/>
        <w:ind w:firstLine="8"/>
        <w:spacing w:after="0" w:line="244" w:lineRule="auto"/>
        <w:tabs>
          <w:tab w:leader="none" w:pos="31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commit to and are under no obligation to structure the terms of the grant or any aspect of the Units to reduce or eliminate your liability for Tax Obligations or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0"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your wages or other cash compensation paid to you by the Company and/or your Employer; or</w:t>
      </w:r>
    </w:p>
    <w:p>
      <w:pPr>
        <w:spacing w:after="0" w:line="233" w:lineRule="exact"/>
        <w:rPr>
          <w:rFonts w:ascii="Times New Roman" w:cs="Times New Roman" w:eastAsia="Times New Roman" w:hAnsi="Times New Roman"/>
          <w:sz w:val="22"/>
          <w:szCs w:val="22"/>
          <w:color w:val="auto"/>
        </w:rPr>
      </w:pPr>
    </w:p>
    <w:p>
      <w:pPr>
        <w:ind w:firstLine="656"/>
        <w:spacing w:after="0" w:line="284" w:lineRule="auto"/>
        <w:tabs>
          <w:tab w:leader="none" w:pos="12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proceeds of the sale of Shares acquired upon vesting or payment of the Units either through a voluntary sale or through a mandatory sale arranged by the Company (on your behalf pursuant to this authorization); or</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2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in Shares to be issued upon vesting or payment of the Units, provided that the Company and your Employer shall only withhold an amount of Shares with a fair market value equal to the Tax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1" w:lineRule="exact"/>
        <w:rPr>
          <w:sz w:val="20"/>
          <w:szCs w:val="20"/>
          <w:color w:val="auto"/>
        </w:rPr>
      </w:pPr>
    </w:p>
    <w:p>
      <w:pPr>
        <w:jc w:val="both"/>
        <w:ind w:firstLine="8"/>
        <w:spacing w:after="0" w:line="225" w:lineRule="auto"/>
        <w:tabs>
          <w:tab w:leader="none" w:pos="132" w:val="left"/>
        </w:tabs>
        <w:numPr>
          <w:ilvl w:val="0"/>
          <w:numId w:val="5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22"/>
          <w:szCs w:val="22"/>
          <w:i w:val="1"/>
          <w:iCs w:val="1"/>
          <w:color w:val="auto"/>
        </w:rPr>
        <w:t>Paragraph (d) of Section I of this Agreement is not applicable to awards identified by the Administrator as new hire, retention or promotion grants and the provisions of such paragraph shall be reserved and references thereto identified by an asterisk (*) shall be omitted from the agreements evidencing such grants.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135" w:name="page136"/>
    <w:bookmarkEnd w:id="135"/>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vested Units, notwithstanding that a number of the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222"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Dividend Equivalents</w:t>
      </w:r>
    </w:p>
    <w:p>
      <w:pPr>
        <w:spacing w:after="0" w:line="260" w:lineRule="exact"/>
        <w:rPr>
          <w:sz w:val="20"/>
          <w:szCs w:val="20"/>
          <w:color w:val="auto"/>
        </w:rPr>
      </w:pPr>
    </w:p>
    <w:p>
      <w:pPr>
        <w:jc w:val="both"/>
        <w:ind w:firstLine="1953"/>
        <w:spacing w:after="0" w:line="245" w:lineRule="auto"/>
        <w:tabs>
          <w:tab w:leader="none" w:pos="241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and Payment of Dividend Equivalents</w:t>
      </w:r>
      <w:r>
        <w:rPr>
          <w:rFonts w:ascii="Times New Roman" w:cs="Times New Roman" w:eastAsia="Times New Roman" w:hAnsi="Times New Roman"/>
          <w:sz w:val="22"/>
          <w:szCs w:val="22"/>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236" w:lineRule="exact"/>
        <w:rPr>
          <w:rFonts w:ascii="Times New Roman" w:cs="Times New Roman" w:eastAsia="Times New Roman" w:hAnsi="Times New Roman"/>
          <w:sz w:val="22"/>
          <w:szCs w:val="22"/>
          <w:color w:val="auto"/>
        </w:rPr>
      </w:pPr>
    </w:p>
    <w:p>
      <w:pPr>
        <w:jc w:val="both"/>
        <w:ind w:firstLine="1953"/>
        <w:spacing w:after="0" w:line="250" w:lineRule="auto"/>
        <w:tabs>
          <w:tab w:leader="none" w:pos="252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Dividend Equivalents.</w:t>
      </w:r>
      <w:r>
        <w:rPr>
          <w:rFonts w:ascii="Times New Roman" w:cs="Times New Roman" w:eastAsia="Times New Roman" w:hAnsi="Times New Roman"/>
          <w:sz w:val="22"/>
          <w:szCs w:val="22"/>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w:t>
      </w:r>
    </w:p>
    <w:p>
      <w:pPr>
        <w:spacing w:after="0" w:line="222" w:lineRule="exact"/>
        <w:rPr>
          <w:rFonts w:ascii="Times New Roman" w:cs="Times New Roman" w:eastAsia="Times New Roman" w:hAnsi="Times New Roman"/>
          <w:sz w:val="22"/>
          <w:szCs w:val="22"/>
          <w:color w:val="auto"/>
        </w:rPr>
      </w:pPr>
    </w:p>
    <w:p>
      <w:pPr>
        <w:jc w:val="both"/>
        <w:ind w:left="80" w:firstLine="657"/>
        <w:spacing w:after="0" w:line="250" w:lineRule="auto"/>
        <w:tabs>
          <w:tab w:leader="none" w:pos="14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nothing in this Section V shall prevent transfer (i) by will or (ii) by applicable laws of descent and distribution.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VI. Notices.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9" w:right="239" w:bottom="1440" w:gutter="0" w:footer="0" w:header="0"/>
        </w:sectPr>
      </w:pPr>
    </w:p>
    <w:bookmarkStart w:id="136" w:name="page137"/>
    <w:bookmarkEnd w:id="136"/>
    <w:p>
      <w:pPr>
        <w:jc w:val="both"/>
        <w:spacing w:after="0" w:line="257" w:lineRule="auto"/>
        <w:rPr>
          <w:sz w:val="20"/>
          <w:szCs w:val="20"/>
          <w:color w:val="auto"/>
        </w:rPr>
      </w:pPr>
      <w:r>
        <w:rPr>
          <w:rFonts w:ascii="Times New Roman" w:cs="Times New Roman" w:eastAsia="Times New Roman" w:hAnsi="Times New Roman"/>
          <w:sz w:val="22"/>
          <w:szCs w:val="22"/>
          <w:color w:val="auto"/>
        </w:rPr>
        <w:t>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IX.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The time and form of payment of the Units is intended to comply with the requirements of Code Section 409A and this Agreement shall be interpreted in accordance with Code Section 409A and U.S. Department of Treasury regulations and other interpretive guidance issued thereunder, including without limitation any such regulations or other guidance that may be issued after the Grant Date. Accordingly, no acceleration or deferral of any payment shall be permitted if it would cause the payment of the Units to violate Code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Code Section 409A and/or preserve the intended tax treatment of the benefits provided with respect to this Award, or (b) comply with the requirements of Code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paragraph shall not create an obligation on the part of the Committee to adopt any such amendment, policy or procedure or take any such other action. For purposes of Code Section 409A, the right to receive payment of Units at each Vesting Date shall be treated as a right to receive separate and distinct payments.</w:t>
      </w:r>
    </w:p>
    <w:p>
      <w:pPr>
        <w:spacing w:after="0" w:line="235" w:lineRule="exact"/>
        <w:rPr>
          <w:sz w:val="20"/>
          <w:szCs w:val="20"/>
          <w:color w:val="auto"/>
        </w:rPr>
      </w:pPr>
    </w:p>
    <w:p>
      <w:pPr>
        <w:jc w:val="both"/>
        <w:ind w:firstLine="656"/>
        <w:spacing w:after="0" w:line="247" w:lineRule="auto"/>
        <w:tabs>
          <w:tab w:leader="none" w:pos="150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27"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Times New Roman" w:cs="Times New Roman" w:eastAsia="Times New Roman" w:hAnsi="Times New Roman"/>
          <w:sz w:val="22"/>
          <w:szCs w:val="22"/>
          <w:u w:val="single" w:color="auto"/>
          <w:color w:val="auto"/>
        </w:rPr>
        <w:t>Acknowledgment of Nature of Plan and Units</w:t>
      </w:r>
      <w:r>
        <w:rPr>
          <w:rFonts w:ascii="Times New Roman" w:cs="Times New Roman" w:eastAsia="Times New Roman" w:hAnsi="Times New Roman"/>
          <w:sz w:val="22"/>
          <w:szCs w:val="22"/>
          <w:color w:val="auto"/>
        </w:rPr>
        <w:t>. In accepting this Agreement, you acknowledge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9" w:right="239" w:bottom="1440" w:gutter="0" w:footer="0" w:header="0"/>
        </w:sectPr>
      </w:pPr>
    </w:p>
    <w:bookmarkStart w:id="137" w:name="page138"/>
    <w:bookmarkEnd w:id="137"/>
    <w:p>
      <w:pPr>
        <w:ind w:firstLine="1953"/>
        <w:spacing w:after="0" w:line="271" w:lineRule="auto"/>
        <w:tabs>
          <w:tab w:leader="none" w:pos="24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is discretionary in nature and may be modified, amended, suspended or terminated by the Company at any time, as provided in the Plan;</w:t>
      </w:r>
    </w:p>
    <w:p>
      <w:pPr>
        <w:spacing w:after="0" w:line="198" w:lineRule="exact"/>
        <w:rPr>
          <w:rFonts w:ascii="Times New Roman" w:cs="Times New Roman" w:eastAsia="Times New Roman" w:hAnsi="Times New Roman"/>
          <w:sz w:val="22"/>
          <w:szCs w:val="22"/>
          <w:color w:val="auto"/>
        </w:rPr>
      </w:pPr>
    </w:p>
    <w:p>
      <w:pPr>
        <w:ind w:firstLine="1953"/>
        <w:spacing w:after="0" w:line="271" w:lineRule="auto"/>
        <w:tabs>
          <w:tab w:leader="none" w:pos="24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Units is voluntary and occasional and does not create any contractual or other right to receive future awards of Units, or benefits in lieu of Units even if Units have been awarded in the past;</w:t>
      </w:r>
    </w:p>
    <w:p>
      <w:pPr>
        <w:spacing w:after="0" w:line="198"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awards, if any, will be at the sole discretion of the Company;</w:t>
      </w:r>
    </w:p>
    <w:p>
      <w:pPr>
        <w:spacing w:after="0" w:line="260" w:lineRule="exact"/>
        <w:rPr>
          <w:rFonts w:ascii="Times New Roman" w:cs="Times New Roman" w:eastAsia="Times New Roman" w:hAnsi="Times New Roman"/>
          <w:sz w:val="22"/>
          <w:szCs w:val="22"/>
          <w:color w:val="auto"/>
        </w:rPr>
      </w:pPr>
    </w:p>
    <w:p>
      <w:pPr>
        <w:ind w:firstLine="1953"/>
        <w:spacing w:after="0" w:line="271" w:lineRule="auto"/>
        <w:tabs>
          <w:tab w:leader="none" w:pos="24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shall not create a right to further employment with the Employer and shall not interfere with the ability of the Employer to terminate your employment or service relationship (if any) at any time;</w:t>
      </w:r>
    </w:p>
    <w:p>
      <w:pPr>
        <w:spacing w:after="0" w:line="198"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is voluntary;</w:t>
      </w:r>
    </w:p>
    <w:p>
      <w:pPr>
        <w:spacing w:after="0" w:line="260"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Units and the Shares subject to the Units are not intended to replace any pension rights 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236"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1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grant of Units nor any provision of this Agreement, the Plan or the policies adopted pursuant to the Plan confer upon you any right with respect to employment or continuation of current employment and shall not be interpreted to form an employment contract or relationship with the Company or any Affiliate;</w:t>
      </w:r>
    </w:p>
    <w:p>
      <w:pPr>
        <w:spacing w:after="0" w:line="213"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and cannot be predicted with certainty;</w:t>
      </w:r>
    </w:p>
    <w:p>
      <w:pPr>
        <w:spacing w:after="0" w:line="260" w:lineRule="exact"/>
        <w:rPr>
          <w:rFonts w:ascii="Times New Roman" w:cs="Times New Roman" w:eastAsia="Times New Roman" w:hAnsi="Times New Roman"/>
          <w:sz w:val="22"/>
          <w:szCs w:val="22"/>
          <w:color w:val="auto"/>
        </w:rPr>
      </w:pPr>
    </w:p>
    <w:p>
      <w:pPr>
        <w:jc w:val="both"/>
        <w:ind w:firstLine="1953"/>
        <w:spacing w:after="0" w:line="249" w:lineRule="auto"/>
        <w:tabs>
          <w:tab w:leader="none" w:pos="24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1" w:lineRule="exact"/>
        <w:rPr>
          <w:rFonts w:ascii="Times New Roman" w:cs="Times New Roman" w:eastAsia="Times New Roman" w:hAnsi="Times New Roman"/>
          <w:sz w:val="22"/>
          <w:szCs w:val="22"/>
          <w:color w:val="auto"/>
        </w:rPr>
      </w:pPr>
    </w:p>
    <w:p>
      <w:pPr>
        <w:jc w:val="both"/>
        <w:ind w:firstLine="1953"/>
        <w:spacing w:after="0" w:line="275" w:lineRule="auto"/>
        <w:tabs>
          <w:tab w:leader="none" w:pos="237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55" w:lineRule="exact"/>
        <w:rPr>
          <w:rFonts w:ascii="Times New Roman" w:cs="Times New Roman" w:eastAsia="Times New Roman" w:hAnsi="Times New Roman"/>
          <w:sz w:val="21"/>
          <w:szCs w:val="21"/>
          <w:color w:val="auto"/>
        </w:rPr>
      </w:pPr>
    </w:p>
    <w:p>
      <w:pPr>
        <w:ind w:left="2420" w:hanging="467"/>
        <w:spacing w:after="0"/>
        <w:tabs>
          <w:tab w:leader="none" w:pos="24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you are providing services outside the United States:</w:t>
      </w:r>
    </w:p>
    <w:p>
      <w:pPr>
        <w:spacing w:after="0" w:line="219" w:lineRule="exact"/>
        <w:rPr>
          <w:rFonts w:ascii="Times New Roman" w:cs="Times New Roman" w:eastAsia="Times New Roman" w:hAnsi="Times New Roman"/>
          <w:sz w:val="22"/>
          <w:szCs w:val="22"/>
          <w:color w:val="auto"/>
        </w:rPr>
      </w:pPr>
    </w:p>
    <w:p>
      <w:pPr>
        <w:jc w:val="both"/>
        <w:ind w:firstLine="2601"/>
        <w:spacing w:after="0" w:line="252" w:lineRule="auto"/>
        <w:tabs>
          <w:tab w:leader="none" w:pos="285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employment law purposes outside the United States, the Units and Shares subject to the Units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9" w:right="239" w:bottom="1440" w:gutter="0" w:footer="0" w:header="0"/>
        </w:sectPr>
      </w:pPr>
    </w:p>
    <w:bookmarkStart w:id="138" w:name="page139"/>
    <w:bookmarkEnd w:id="138"/>
    <w:p>
      <w:pPr>
        <w:jc w:val="both"/>
        <w:ind w:firstLine="2601"/>
        <w:spacing w:after="0" w:line="275" w:lineRule="auto"/>
        <w:tabs>
          <w:tab w:leader="none" w:pos="293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the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XII.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XIII.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xml:space="preserve">. Notwithstanding any provision of this Agreement to the contrary, if you are employed by the Company or an Affiliate in any of the countries identified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 Units granted hereunder shall be subject to any special terms and conditions for your country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to the following additional terms and conditions:</w:t>
      </w:r>
    </w:p>
    <w:p>
      <w:pPr>
        <w:spacing w:after="0" w:line="222" w:lineRule="exact"/>
        <w:rPr>
          <w:sz w:val="20"/>
          <w:szCs w:val="20"/>
          <w:color w:val="auto"/>
        </w:rPr>
      </w:pPr>
    </w:p>
    <w:p>
      <w:pPr>
        <w:ind w:left="980" w:right="20" w:hanging="324"/>
        <w:spacing w:after="0" w:line="271"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conditions of this Agreement,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are deemed modified to the extent necessary or advisable to comply with applicable foreign laws or facilitate the administration of the Plan;</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73"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applicable foreign laws, the payment of any earned Units shall be made in cash or Common Stock, at the Company’s election; and</w:t>
      </w:r>
    </w:p>
    <w:p>
      <w:pPr>
        <w:spacing w:after="0" w:line="157"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take any other action, before or after an award of Units is made, that it deems advisable to obtain approval or comply with any necessary local governmental regulatory exemptions or approvals.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XIV. </w:t>
      </w:r>
      <w:r>
        <w:rPr>
          <w:rFonts w:ascii="Times New Roman" w:cs="Times New Roman" w:eastAsia="Times New Roman" w:hAnsi="Times New Roman"/>
          <w:sz w:val="22"/>
          <w:szCs w:val="22"/>
          <w:b w:val="1"/>
          <w:bCs w:val="1"/>
          <w:i w:val="1"/>
          <w:iCs w:val="1"/>
          <w:u w:val="single" w:color="auto"/>
          <w:color w:val="auto"/>
        </w:rPr>
        <w:t>Data Privacy and Notice of Consent</w:t>
      </w:r>
      <w:r>
        <w:rPr>
          <w:rFonts w:ascii="Times New Roman" w:cs="Times New Roman" w:eastAsia="Times New Roman" w:hAnsi="Times New Roman"/>
          <w:sz w:val="22"/>
          <w:szCs w:val="22"/>
          <w:b w:val="1"/>
          <w:bCs w:val="1"/>
          <w:i w:val="1"/>
          <w:iCs w:val="1"/>
          <w:color w:val="auto"/>
        </w:rPr>
        <w:t>. You hereby explicitly and unambiguously consent to the collection, 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transfer, in electronic or other form, of your personal data as described in this Agreement by and among, as applicable, your Employer, the Company, and Affiliates of the Company for the exclusive purpose of implementing, administering and managing your participation in the Plan.</w:t>
      </w:r>
    </w:p>
    <w:p>
      <w:pPr>
        <w:spacing w:after="0" w:line="2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Company and your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9"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b w:val="1"/>
          <w:bCs w:val="1"/>
          <w:i w:val="1"/>
          <w:iCs w:val="1"/>
          <w:color w:val="auto"/>
        </w:rPr>
        <w:t>unvested or outstanding in your favor, for the purposes of implementing, administering and managing the Plan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may be transferred to Merrill Lynch Bank &amp; Trust Co., FSB, or any successor thereto, or any third parties assisting in the implementation, administration and management of the Plan,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your Employer, the Company, Affiliates of the Company, Merrill Lynch Bank &amp; Trust Co., FSB, or any successor thereto, and any other possible recipients which may assist the Company (presently or in the future) with implementing, administering and managing your participation in the Plan to receive, possess, use, retain and transfer the Data, in electronic or other form, for the purpose of implementing, administering and managing your participation in the Plan, including any requisite transfer of such Data as may be required to any other broker, escrow agent or other third party with whom the Shares received upon vesting of the Units may be deposited.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XVI.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XVII. </w:t>
      </w: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XVIII. </w:t>
      </w:r>
      <w:r>
        <w:rPr>
          <w:rFonts w:ascii="Times New Roman" w:cs="Times New Roman" w:eastAsia="Times New Roman" w:hAnsi="Times New Roman"/>
          <w:sz w:val="22"/>
          <w:szCs w:val="22"/>
          <w:u w:val="single" w:color="auto"/>
          <w:color w:val="auto"/>
        </w:rPr>
        <w:t>Compensation Subject to Recovery</w:t>
      </w:r>
      <w:r>
        <w:rPr>
          <w:rFonts w:ascii="Times New Roman" w:cs="Times New Roman" w:eastAsia="Times New Roman" w:hAnsi="Times New Roman"/>
          <w:sz w:val="22"/>
          <w:szCs w:val="22"/>
          <w:color w:val="auto"/>
        </w:rPr>
        <w:t>. The Units subject to this Award and all compensation payable with respect to them shall be subject to recovery by the Company pursuant to any and all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3" w:right="239" w:bottom="1440" w:gutter="0" w:footer="0" w:header="0"/>
        </w:sectPr>
      </w:pPr>
    </w:p>
    <w:bookmarkStart w:id="140" w:name="page141"/>
    <w:bookmarkEnd w:id="14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Company’s policies with respect to the recovery of compensation, as they shall be in effect and may be amended from time to time, to the maximum extent permitted by applicable law.</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XIX.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9" w:right="239" w:bottom="1440" w:gutter="0" w:footer="0" w:header="0"/>
        </w:sectPr>
      </w:pPr>
    </w:p>
    <w:bookmarkStart w:id="141" w:name="page142"/>
    <w:bookmarkEnd w:id="141"/>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ADDITIONAL TERMS AND CONDITIONS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AND/OR RESTATED FROM TIME TO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OF RESTRICTED STOCK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COUNTRY)</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Appendix A shall have the meanings set forth in the Plan and/or the Agreement to which this Appendix is attached.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relocate to one of the countries listed below and the Company shall, in its discretion, determine to what extent the terms and conditions contained herein shall apply to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NON-U.S. JURISDICTIONS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Insider Trading Restrictions/Market Abuse Laws. </w:t>
      </w:r>
      <w:r>
        <w:rPr>
          <w:rFonts w:ascii="Times New Roman" w:cs="Times New Roman" w:eastAsia="Times New Roman" w:hAnsi="Times New Roman"/>
          <w:sz w:val="22"/>
          <w:szCs w:val="22"/>
          <w:color w:val="auto"/>
        </w:rPr>
        <w:t>You acknowledge that, depending on your country, you may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trading restrictions and/or market abuse laws, which may affect your ability to acquire or sell Shares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w:t>
      </w:r>
    </w:p>
    <w:p>
      <w:pPr>
        <w:sectPr>
          <w:pgSz w:w="11900" w:h="16838" w:orient="portrait"/>
          <w:cols w:equalWidth="0" w:num="1">
            <w:col w:w="11420"/>
          </w:cols>
          <w:pgMar w:left="240" w:top="365"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AUD10,000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If an Australian bank is assisting with the transaction, the bank will file the report on your behalf.</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you acquire Shares under the Plan and offer the Shares for sale to a person or entity resident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Australia, the offer may be subject to disclosure requirements under Australian law. You should consult with your own legal advisor before making any such offer in Australia.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hold Shares acquired under the Plan outside of Austria, you must submit a report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Foreign Asset/Account Reporting Information. </w:t>
      </w:r>
      <w:r>
        <w:rPr>
          <w:rFonts w:ascii="Times New Roman" w:cs="Times New Roman" w:eastAsia="Times New Roman" w:hAnsi="Times New Roman"/>
          <w:sz w:val="22"/>
          <w:szCs w:val="22"/>
          <w:color w:val="auto"/>
        </w:rPr>
        <w:t>You are required to report any taxable income attributable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Units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BRAZIL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By accepting the Units, you acknowledge that you agree to comply with applicable Brazilian laws and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and all applicable taxes associated with the vesting of the Units, the sale of Shares acquired under the Plan, the payment of dividends on such Shares and the receipt of any Dividend Equivalents paid in cash.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ectPr>
          <w:pgSz w:w="11900" w:h="16838" w:orient="portrait"/>
          <w:cols w:equalWidth="0" w:num="1">
            <w:col w:w="11420"/>
          </w:cols>
          <w:pgMar w:left="240" w:top="365"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b w:val="1"/>
          <w:bCs w:val="1"/>
          <w:color w:val="auto"/>
        </w:rPr>
        <w:t xml:space="preserve">Acknowledgment of Nature of Plan and Units. </w:t>
      </w:r>
      <w:r>
        <w:rPr>
          <w:rFonts w:ascii="Times New Roman" w:cs="Times New Roman" w:eastAsia="Times New Roman" w:hAnsi="Times New Roman"/>
          <w:sz w:val="22"/>
          <w:szCs w:val="22"/>
          <w:color w:val="auto"/>
        </w:rPr>
        <w:t>This provision supplements Section XI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are resident or domiciled in Brazil, you will be required to submit annually a declaration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BULGARIA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Section I(i) of the Agreement is amended to read as follows:</w:t>
      </w:r>
    </w:p>
    <w:p>
      <w:pPr>
        <w:spacing w:after="0" w:line="224" w:lineRule="exact"/>
        <w:rPr>
          <w:sz w:val="20"/>
          <w:szCs w:val="20"/>
          <w:color w:val="auto"/>
        </w:rPr>
      </w:pPr>
    </w:p>
    <w:p>
      <w:pPr>
        <w:jc w:val="both"/>
        <w:ind w:firstLine="8"/>
        <w:spacing w:after="0" w:line="246" w:lineRule="auto"/>
        <w:tabs>
          <w:tab w:leader="none" w:pos="25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your active employment</w:t>
      </w:r>
      <w:r>
        <w:rPr>
          <w:rFonts w:ascii="Times New Roman" w:cs="Times New Roman" w:eastAsia="Times New Roman" w:hAnsi="Times New Roman"/>
          <w:sz w:val="22"/>
          <w:szCs w:val="22"/>
          <w:color w:val="auto"/>
        </w:rPr>
        <w:t>” shall mean the last date that you are either an active employee of the Company or an Affiliate or actively engaged as a Consultant or Director of the Company or an Affiliate; in the event of involuntary termination of your employment (whether or not in breach of local labor laws), your right to receive any Units and vest under the Plan, if any, will terminate effective as of the date that is the earlier of: (1) 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the Units after termination of employment will be measured by the date of termination of your active employment and will not be extended by any notice period mandated under local law;</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 Units Payable Only in Shares. </w:t>
      </w:r>
      <w:r>
        <w:rPr>
          <w:rFonts w:ascii="Times New Roman" w:cs="Times New Roman" w:eastAsia="Times New Roman" w:hAnsi="Times New Roman"/>
          <w:sz w:val="22"/>
          <w:szCs w:val="22"/>
          <w:color w:val="auto"/>
        </w:rPr>
        <w:t>Notwithstanding any discretion in the Plan or anything to the contrary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the Units do not provide any right for you, as a resident of Canada, to receive a cash payment and shall be paid in Shares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Agreement, as well as all documents, 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A-3</w:t>
      </w:r>
    </w:p>
    <w:p>
      <w:pPr>
        <w:sectPr>
          <w:pgSz w:w="11900" w:h="16838" w:orient="portrait"/>
          <w:cols w:equalWidth="0" w:num="1">
            <w:col w:w="11420"/>
          </w:cols>
          <w:pgMar w:left="240" w:top="365" w:right="239" w:bottom="1440" w:gutter="0" w:footer="0" w:header="0"/>
        </w:sectPr>
      </w:pPr>
    </w:p>
    <w:bookmarkStart w:id="144" w:name="page145"/>
    <w:bookmarkEnd w:id="144"/>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u w:val="single" w:color="auto"/>
          <w:color w:val="auto"/>
        </w:rPr>
        <w:t>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ainsi que de tous documents exécutés, avis donnés et procédures judiciaries intentées, directement ou indirectement, relativement à ou suite à la présente convention.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XIV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hereby authorize the Company and the Company’s representative to discuss with and obtain all relevant information from all personnel (professional or not) involved in the administration and operation of the Plan. You further authorize the Company and your Employer to disclose and discuss your participation in the Plan with their advisors. You also authorize the Company and your Employer to record such information and keep it in your employee file.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You are permitted to sell Shares acquired through the Plan through the designated broker appointed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NASDAQ Global Select Market).</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report any foreign property (including Shares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on form T1135 (Foreign Income Verification Statement) if the total value of the foreign property exceeds C$100,000 at any time in the year. It is not certain if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Pursuant to Ruling No. 99 of 2001 issued by the Chilean Superintendence of Securities (“</w:t>
      </w:r>
      <w:r>
        <w:rPr>
          <w:rFonts w:ascii="Times New Roman" w:cs="Times New Roman" w:eastAsia="Times New Roman" w:hAnsi="Times New Roman"/>
          <w:sz w:val="22"/>
          <w:szCs w:val="22"/>
          <w:u w:val="single" w:color="auto"/>
          <w:color w:val="auto"/>
        </w:rPr>
        <w:t>CSS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Units nor any Shares acquired under the Plan will be registered under the Registry of Securities held by the CSS nor are they under the control or supervision of the CSS.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not required to repatriate funds obtained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and Registration Information. </w:t>
      </w:r>
      <w:r>
        <w:rPr>
          <w:rFonts w:ascii="Times New Roman" w:cs="Times New Roman" w:eastAsia="Times New Roman" w:hAnsi="Times New Roman"/>
          <w:sz w:val="22"/>
          <w:szCs w:val="22"/>
          <w:color w:val="auto"/>
        </w:rPr>
        <w:t>You must file Tax Form 1851 in relation to any Shares acquired under the Plan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held abroad and to any taxes paid abroad (if you will be seeking a credit against Chilean income tax owed) with the Chilean Internal Revenue Service (the “</w:t>
      </w:r>
      <w:r>
        <w:rPr>
          <w:rFonts w:ascii="Times New Roman" w:cs="Times New Roman" w:eastAsia="Times New Roman" w:hAnsi="Times New Roman"/>
          <w:sz w:val="22"/>
          <w:szCs w:val="22"/>
          <w:u w:val="single" w:color="auto"/>
          <w:color w:val="auto"/>
        </w:rPr>
        <w:t>CIRS</w:t>
      </w:r>
      <w:r>
        <w:rPr>
          <w:rFonts w:ascii="Times New Roman" w:cs="Times New Roman" w:eastAsia="Times New Roman" w:hAnsi="Times New Roman"/>
          <w:sz w:val="22"/>
          <w:szCs w:val="22"/>
          <w:color w:val="auto"/>
        </w:rPr>
        <w:t>”), The form must be submitted through the CIRS web page at www.sii.cl before March 15 of each year.</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A-4</w:t>
      </w:r>
    </w:p>
    <w:p>
      <w:pPr>
        <w:sectPr>
          <w:pgSz w:w="11900" w:h="16838" w:orient="portrait"/>
          <w:cols w:equalWidth="0" w:num="1">
            <w:col w:w="11420"/>
          </w:cols>
          <w:pgMar w:left="240" w:top="365"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terms apply only to individuals who are subject to exchange control restrictions in the People’s Republic of China (the “PRC”), as determined by the Company in its sole discretion:</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Vesting of the Units. </w:t>
      </w:r>
      <w:r>
        <w:rPr>
          <w:rFonts w:ascii="Times New Roman" w:cs="Times New Roman" w:eastAsia="Times New Roman" w:hAnsi="Times New Roman"/>
          <w:sz w:val="22"/>
          <w:szCs w:val="22"/>
          <w:color w:val="auto"/>
        </w:rPr>
        <w:t>Notwithstanding anything to the contrary in the Form of Award Notice or Award Agreement, the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vest until all necessary exchange control and other approvals from the PRC State Administration of Foreign Exchange or its local counterpart (“</w:t>
      </w:r>
      <w:r>
        <w:rPr>
          <w:rFonts w:ascii="Times New Roman" w:cs="Times New Roman" w:eastAsia="Times New Roman" w:hAnsi="Times New Roman"/>
          <w:sz w:val="22"/>
          <w:szCs w:val="22"/>
          <w:u w:val="single" w:color="auto"/>
          <w:color w:val="auto"/>
        </w:rPr>
        <w:t>SAFE</w:t>
      </w:r>
      <w:r>
        <w:rPr>
          <w:rFonts w:ascii="Times New Roman" w:cs="Times New Roman" w:eastAsia="Times New Roman" w:hAnsi="Times New Roman"/>
          <w:sz w:val="22"/>
          <w:szCs w:val="22"/>
          <w:color w:val="auto"/>
        </w:rPr>
        <w:t>”) have been received for Units granted under the Plan. Once SAFE approval has been received, and provided you are then employed by the Company or an Affiliate, you will receive vesting credit for that portion of the Units that would have vested prior to obtaining SAFE approval, if applicable, and the remaining portion of the Units will vest in accordance with the Vesting Schedule in the Form of Award Notice. If you terminate employment with the Company and its Affiliates prior to the receipt of SAFE approval, your unvested Units will be forfeited.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[Further, 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the PRC,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Units are not immediately sold, you acknowledge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maintain the Shares in an account with Merrill Lynch Bank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A-5</w:t>
      </w:r>
    </w:p>
    <w:p>
      <w:pPr>
        <w:sectPr>
          <w:pgSz w:w="11900" w:h="16838" w:orient="portrait"/>
          <w:cols w:equalWidth="0" w:num="1">
            <w:col w:w="11420"/>
          </w:cols>
          <w:pgMar w:left="240" w:top="579" w:right="239" w:bottom="1440" w:gutter="0" w:footer="0" w:header="0"/>
        </w:sectPr>
      </w:pPr>
    </w:p>
    <w:bookmarkStart w:id="146" w:name="page147"/>
    <w:bookmarkEnd w:id="14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Trust Co., FSB or such other designated broker as may be selected by the Company until the Shares are sold through such Company-designated broker.</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Effective January 1, 2014, PRC residents are required to report to SAFE details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foreign financial assets and liabilities, as well as details of any economic transactions conducted with non-PRC residents, either directly or through financial institutions. Shares or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COLOMBIA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in assets located abroad (such as Shares acquired under the Plan) does not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approval from the Central Bank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CROATIA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Croatian residents must report any foreign investments (including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A-6</w:t>
      </w:r>
    </w:p>
    <w:p>
      <w:pPr>
        <w:sectPr>
          <w:pgSz w:w="11900" w:h="16838" w:orient="portrait"/>
          <w:cols w:equalWidth="0" w:num="1">
            <w:col w:w="11420"/>
          </w:cols>
          <w:pgMar w:left="240" w:top="369"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Proceeds from the sale of Shares, any dividends paid on such Shares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held in a cash account abroad and you are no longer required to report the opening and maintenance of a foreign account to the Czech National Bank (the “</w:t>
      </w:r>
      <w:r>
        <w:rPr>
          <w:rFonts w:ascii="Times New Roman" w:cs="Times New Roman" w:eastAsia="Times New Roman" w:hAnsi="Times New Roman"/>
          <w:sz w:val="22"/>
          <w:szCs w:val="22"/>
          <w:u w:val="single" w:color="auto"/>
          <w:color w:val="auto"/>
        </w:rPr>
        <w:t>CNB</w:t>
      </w:r>
      <w:r>
        <w:rPr>
          <w:rFonts w:ascii="Times New Roman" w:cs="Times New Roman" w:eastAsia="Times New Roman" w:hAnsi="Times New Roman"/>
          <w:sz w:val="22"/>
          <w:szCs w:val="22"/>
          <w:color w:val="auto"/>
        </w:rPr>
        <w:t>”), unless the CNB notifies you specifically that such reporting is required. Upon request of the CNB, you may need to file a notification within 15 days of the end of the calendar quarter in which you acquire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Danish Stock Option Act. </w:t>
      </w:r>
      <w:r>
        <w:rPr>
          <w:rFonts w:ascii="Times New Roman" w:cs="Times New Roman" w:eastAsia="Times New Roman" w:hAnsi="Times New Roman"/>
          <w:sz w:val="21"/>
          <w:szCs w:val="21"/>
          <w:color w:val="auto"/>
        </w:rPr>
        <w:t>In accepting the Units, you acknowledge that you have received an Employer Statement translated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establish an account holding Shares or an account holding cash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Securities/Tax Reporting Information. </w:t>
      </w:r>
      <w:r>
        <w:rPr>
          <w:rFonts w:ascii="Times New Roman" w:cs="Times New Roman" w:eastAsia="Times New Roman" w:hAnsi="Times New Roman"/>
          <w:sz w:val="21"/>
          <w:szCs w:val="21"/>
          <w:color w:val="auto"/>
        </w:rPr>
        <w:t>If you hold Shares acquired under the Plan in a brokerage account with a broker or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Denmark, you are required to inform the Danish Tax Administration about the account. For this purpose, you must sign and file a Form V (</w:t>
      </w:r>
      <w:r>
        <w:rPr>
          <w:rFonts w:ascii="Times New Roman" w:cs="Times New Roman" w:eastAsia="Times New Roman" w:hAnsi="Times New Roman"/>
          <w:sz w:val="21"/>
          <w:szCs w:val="21"/>
          <w:i w:val="1"/>
          <w:iCs w:val="1"/>
          <w:color w:val="auto"/>
        </w:rPr>
        <w:t>Erklaering V</w:t>
      </w:r>
      <w:r>
        <w:rPr>
          <w:rFonts w:ascii="Times New Roman" w:cs="Times New Roman" w:eastAsia="Times New Roman" w:hAnsi="Times New Roman"/>
          <w:sz w:val="21"/>
          <w:szCs w:val="21"/>
          <w:color w:val="auto"/>
        </w:rPr>
        <w:t>) with the Danish Tax Administration.Both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 addition, if you open a brokerage account or a bank account with a U.S. bank, the account will be treated as a "deposit account" because cash can be held in the account. Therefore, you likely must also file a Form K (</w:t>
      </w:r>
      <w:r>
        <w:rPr>
          <w:rFonts w:ascii="Times New Roman" w:cs="Times New Roman" w:eastAsia="Times New Roman" w:hAnsi="Times New Roman"/>
          <w:sz w:val="21"/>
          <w:szCs w:val="21"/>
          <w:i w:val="1"/>
          <w:iCs w:val="1"/>
          <w:color w:val="auto"/>
        </w:rPr>
        <w:t>Erklaering K</w:t>
      </w:r>
      <w:r>
        <w:rPr>
          <w:rFonts w:ascii="Times New Roman" w:cs="Times New Roman" w:eastAsia="Times New Roman" w:hAnsi="Times New Roman"/>
          <w:sz w:val="21"/>
          <w:szCs w:val="21"/>
          <w:color w:val="auto"/>
        </w:rPr>
        <w:t>)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If the applicable broker or bank does not sign the Form K for any reason, you are solely responsible for providing the necessary information to the Danish Tax Administration. By signing the Form K, you authorize the Danish Tax Administration to examine the account. A sample of Declaration K can be found at the following website: www.skat.dk.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EGYPT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A-7</w:t>
      </w:r>
    </w:p>
    <w:p>
      <w:pPr>
        <w:sectPr>
          <w:pgSz w:w="11900" w:h="16838" w:orient="portrait"/>
          <w:cols w:equalWidth="0" w:num="1">
            <w:col w:w="11420"/>
          </w:cols>
          <w:pgMar w:left="240" w:top="579"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transfer funds into Egypt in connection with the Units, you are required to transfer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through a registered bank in Egypt.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grant, you confirm having read and understood the Plan and Agreement which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English language. You accept the terms of those documents accordingly.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 acceptant l’attribution, vous confirmez avoir lu et compris le Plan et le Contrat, qui ont été communiqués en langue anglaise.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Vous acceptez les termes de ces documents en connaissance de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hold Shares outside of France or maintain a foreign bank account,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report such to the French tax authorities when filing your annual tax return. Failure to comply could trigger significant penalties.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xml:space="preserve">) can be accessed via the </w:t>
      </w:r>
      <w:r>
        <w:rPr>
          <w:rFonts w:ascii="Times New Roman" w:cs="Times New Roman" w:eastAsia="Times New Roman" w:hAnsi="Times New Roman"/>
          <w:sz w:val="22"/>
          <w:szCs w:val="22"/>
          <w:i w:val="1"/>
          <w:iCs w:val="1"/>
          <w:color w:val="auto"/>
        </w:rPr>
        <w:t>Bundesbank’s</w:t>
      </w:r>
      <w:r>
        <w:rPr>
          <w:rFonts w:ascii="Times New Roman" w:cs="Times New Roman" w:eastAsia="Times New Roman" w:hAnsi="Times New Roman"/>
          <w:sz w:val="22"/>
          <w:szCs w:val="22"/>
          <w:color w:val="auto"/>
        </w:rPr>
        <w:t xml:space="preserve"> website (www.bundesbank.de) and is available in both German and English. You are responsible for satisfying the reporting obligation.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GREECE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 xml:space="preserve">SECURITIES WARNING: </w:t>
      </w:r>
      <w:r>
        <w:rPr>
          <w:rFonts w:ascii="Times New Roman" w:cs="Times New Roman" w:eastAsia="Times New Roman" w:hAnsi="Times New Roman"/>
          <w:sz w:val="22"/>
          <w:szCs w:val="22"/>
          <w:i w:val="1"/>
          <w:iCs w:val="1"/>
          <w:color w:val="auto"/>
        </w:rPr>
        <w:t>The Units and any Shares issued in respect of the Units do not constitute a public offering of securities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under Hong Kong law and are available only to members of the Board, Employees and Consultants.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Units and any documentation related thereto are intended solely for the personal use of each member of the Board, Employee and/or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A-8</w:t>
      </w:r>
    </w:p>
    <w:p>
      <w:pPr>
        <w:sectPr>
          <w:pgSz w:w="11900" w:h="16838" w:orient="portrait"/>
          <w:cols w:equalWidth="0" w:num="1">
            <w:col w:w="11420"/>
          </w:cols>
          <w:pgMar w:left="240" w:top="363" w:right="239" w:bottom="1440" w:gutter="0" w:footer="0" w:header="0"/>
        </w:sectPr>
      </w:pPr>
    </w:p>
    <w:bookmarkStart w:id="149" w:name="page150"/>
    <w:bookmarkEnd w:id="149"/>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Consultant and may not be distributed to any other person. If you are in doubt about any of the contents of the Agreement, including this Appendix, or the Plan, you should obtain independent professional advice.</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Units Payable Only in Shares. </w:t>
      </w:r>
      <w:r>
        <w:rPr>
          <w:rFonts w:ascii="Times New Roman" w:cs="Times New Roman" w:eastAsia="Times New Roman" w:hAnsi="Times New Roman"/>
          <w:sz w:val="22"/>
          <w:szCs w:val="22"/>
          <w:color w:val="auto"/>
        </w:rPr>
        <w:t>Notwithstanding any discretion in the Plan or anything to the contrary in the Agreement, the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 not provide any right for you to receive a cash payment and shall be paid in Shares only.</w:t>
      </w:r>
    </w:p>
    <w:p>
      <w:pPr>
        <w:spacing w:after="0" w:line="15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In the event that Shares are issued in respect of the Units within six (6) months of the Grant Date, you agree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dispose of the Shares prior to the six (6)-month anniversary of the Grant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Nature of Scheme. </w:t>
      </w:r>
      <w:r>
        <w:rPr>
          <w:rFonts w:ascii="Times New Roman" w:cs="Times New Roman" w:eastAsia="Times New Roman" w:hAnsi="Times New Roman"/>
          <w:sz w:val="22"/>
          <w:szCs w:val="22"/>
          <w:color w:val="auto"/>
        </w:rPr>
        <w:t>The Company specifically intends that the Plan will not be an occupational retirement scheme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Occupational Retirement Schemes Ordinance.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applicable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regulations in Iceland as such regulations are subject to frequent change. You are responsible for ensuring compliance with all exchange control laws in Iceland.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You understand that you must repatriate any cash dividends paid on Shares acquired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to India or any Dividend Equivalents paid in cash within 180 days of receipt, and any proceeds from the sale of Shares acquired under the Plan within 90 days of receipt. You will receive a foreign inward remittance certificate (“</w:t>
      </w:r>
      <w:r>
        <w:rPr>
          <w:rFonts w:ascii="Times New Roman" w:cs="Times New Roman" w:eastAsia="Times New Roman" w:hAnsi="Times New Roman"/>
          <w:sz w:val="21"/>
          <w:szCs w:val="21"/>
          <w:u w:val="single" w:color="auto"/>
          <w:color w:val="auto"/>
        </w:rPr>
        <w:t>FIRC</w:t>
      </w:r>
      <w:r>
        <w:rPr>
          <w:rFonts w:ascii="Times New Roman" w:cs="Times New Roman" w:eastAsia="Times New Roman" w:hAnsi="Times New Roman"/>
          <w:sz w:val="21"/>
          <w:szCs w:val="21"/>
          <w:color w:val="auto"/>
        </w:rPr>
        <w:t>”)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are required to declare foreign bank accounts and any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Agreement. </w:t>
      </w:r>
      <w:r>
        <w:rPr>
          <w:rFonts w:ascii="Times New Roman" w:cs="Times New Roman" w:eastAsia="Times New Roman" w:hAnsi="Times New Roman"/>
          <w:sz w:val="22"/>
          <w:szCs w:val="22"/>
          <w:color w:val="auto"/>
        </w:rPr>
        <w:t>This provision supplements Section XI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accepting any Units granted hereunder, you understand and agree that the benefits received under the Plan will not be taken into account for any redundancy or unfair dismissal claim.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A-9</w:t>
      </w:r>
    </w:p>
    <w:p>
      <w:pPr>
        <w:sectPr>
          <w:pgSz w:w="11900" w:h="16838" w:orient="portrait"/>
          <w:cols w:equalWidth="0" w:num="1">
            <w:col w:w="11420"/>
          </w:cols>
          <w:pgMar w:left="240" w:top="365"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Requirements. </w:t>
      </w:r>
      <w:r>
        <w:rPr>
          <w:rFonts w:ascii="Times New Roman" w:cs="Times New Roman" w:eastAsia="Times New Roman" w:hAnsi="Times New Roman"/>
          <w:sz w:val="22"/>
          <w:szCs w:val="22"/>
          <w:color w:val="auto"/>
        </w:rPr>
        <w:t>If you are a director, shadow director or secretary of an Irish Affiliate, you must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Irish Affiliate in writing within five (5)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the Units or Shares), or within five (5) business days of becoming aware of the event giving rise to the notification requirement, or within five</w:t>
      </w:r>
    </w:p>
    <w:p>
      <w:pPr>
        <w:spacing w:after="0" w:line="1" w:lineRule="exact"/>
        <w:rPr>
          <w:sz w:val="20"/>
          <w:szCs w:val="20"/>
          <w:color w:val="auto"/>
        </w:rPr>
      </w:pPr>
    </w:p>
    <w:p>
      <w:pPr>
        <w:jc w:val="both"/>
        <w:ind w:firstLine="8"/>
        <w:spacing w:after="0" w:line="246" w:lineRule="auto"/>
        <w:tabs>
          <w:tab w:leader="none" w:pos="30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replaces Section XIV of the Agreement:</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w:t>
      </w:r>
      <w:r>
        <w:rPr>
          <w:rFonts w:ascii="Times New Roman" w:cs="Times New Roman" w:eastAsia="Times New Roman" w:hAnsi="Times New Roman"/>
          <w:sz w:val="21"/>
          <w:szCs w:val="21"/>
          <w:b w:val="1"/>
          <w:bCs w:val="1"/>
          <w:i w:val="1"/>
          <w:iCs w:val="1"/>
          <w:u w:val="single" w:color="auto"/>
          <w:color w:val="auto"/>
        </w:rPr>
        <w:t>Data</w:t>
      </w:r>
      <w:r>
        <w:rPr>
          <w:rFonts w:ascii="Times New Roman" w:cs="Times New Roman" w:eastAsia="Times New Roman" w:hAnsi="Times New Roman"/>
          <w:sz w:val="21"/>
          <w:szCs w:val="21"/>
          <w:b w:val="1"/>
          <w:bCs w:val="1"/>
          <w:i w:val="1"/>
          <w:iCs w:val="1"/>
          <w:color w:val="auto"/>
        </w:rPr>
        <w:t>”).</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Shares acquired at vesting of the Units.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A-10</w:t>
      </w:r>
    </w:p>
    <w:p>
      <w:pPr>
        <w:sectPr>
          <w:pgSz w:w="11900" w:h="16838" w:orient="portrait"/>
          <w:cols w:equalWidth="0" w:num="1">
            <w:col w:w="11420"/>
          </w:cols>
          <w:pgMar w:left="240" w:top="579" w:right="239" w:bottom="1440" w:gutter="0" w:footer="0" w:header="0"/>
        </w:sectPr>
      </w:pPr>
    </w:p>
    <w:bookmarkStart w:id="151" w:name="page152"/>
    <w:bookmarkEnd w:id="151"/>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which Data is collected and with confidentiality and security provisions, as set forth by applicable laws and regulations, with specific reference to Legislative Decree no. 196/2003.</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Acknowledgement of Nature of Agreement. </w:t>
      </w:r>
      <w:r>
        <w:rPr>
          <w:rFonts w:ascii="Times New Roman" w:cs="Times New Roman" w:eastAsia="Times New Roman" w:hAnsi="Times New Roman"/>
          <w:sz w:val="22"/>
          <w:szCs w:val="22"/>
          <w:color w:val="auto"/>
        </w:rPr>
        <w:t>By accepting any Units granted hereunder, you acknowledge that (1) you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a copy of the Plan, the Agreement and this Appendix; (2) you have reviewed the applicable documents in their entirety and fully understand the contents thereof; and (3) you accept all provisions of the Plan, the Agreement and this Appendix.</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any Units granted, you further acknowledge that you have read and specifically and explicitly approve, without limitation, the following sections of the Agreement: Section I; Section II; Section III; Section VIII; Section X; Section XI; Section XIV (as replaced by the above consent); Section XVI; and Section XVII.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Italian residents who, at any time during the fiscal year, hold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Financial Assets Tax. </w:t>
      </w:r>
      <w:r>
        <w:rPr>
          <w:rFonts w:ascii="Times New Roman" w:cs="Times New Roman" w:eastAsia="Times New Roman" w:hAnsi="Times New Roman"/>
          <w:sz w:val="22"/>
          <w:szCs w:val="22"/>
          <w:color w:val="auto"/>
        </w:rPr>
        <w:t>The fair market value of any Shares held outside of Italy is subject to a foreign assets tax. The fair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will be required to report to the Japanese tax authorities details of any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JORDAN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A-11</w:t>
      </w:r>
    </w:p>
    <w:p>
      <w:pPr>
        <w:sectPr>
          <w:pgSz w:w="11900" w:h="16838" w:orient="portrait"/>
          <w:cols w:equalWidth="0" w:num="1">
            <w:col w:w="11420"/>
          </w:cols>
          <w:pgMar w:left="240" w:top="362"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KOREA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required to repatriate any proceeds in excess of US$500,000 realized in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from the sale of Shares or the receipt of dividends or Dividend Equivalents to Korea within 18 months of receipt.</w:t>
      </w:r>
    </w:p>
    <w:p>
      <w:pPr>
        <w:spacing w:after="0" w:line="1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You are required to declare all foreign financial accounts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non-Korean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accounts, brokerage accounts holding Shares, etc.) to the Korean tax authority and file a report regarding such accounts if the value of such accounts exceeds KRW1,000,000,000 (or an equivalent amount in foreign currency). It is your responsibility to comply with this reporting obligation and you should consult your personal tax advisor to ensure compliance with this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LEBANON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LITHUANIA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Acknowledgement of the Agreement. </w:t>
      </w:r>
      <w:r>
        <w:rPr>
          <w:rFonts w:ascii="Times New Roman" w:cs="Times New Roman" w:eastAsia="Times New Roman" w:hAnsi="Times New Roman"/>
          <w:sz w:val="22"/>
          <w:szCs w:val="22"/>
          <w:color w:val="auto"/>
        </w:rPr>
        <w:t>In accepting the Award granted hereunder, you acknowledge that you have received a copy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spacing w:after="0" w:line="221"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does not constitute an acquired right.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your participation in the Plan are offered by Amgen Inc. on a wholly discretionary basis.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is voluntary.</w:t>
      </w:r>
    </w:p>
    <w:p>
      <w:pPr>
        <w:spacing w:after="0" w:line="219" w:lineRule="exact"/>
        <w:rPr>
          <w:rFonts w:ascii="Times New Roman" w:cs="Times New Roman" w:eastAsia="Times New Roman" w:hAnsi="Times New Roman"/>
          <w:sz w:val="22"/>
          <w:szCs w:val="22"/>
          <w:color w:val="auto"/>
        </w:rPr>
      </w:pPr>
    </w:p>
    <w:p>
      <w:pPr>
        <w:ind w:left="1300" w:right="20" w:hanging="644"/>
        <w:spacing w:after="0" w:line="271" w:lineRule="auto"/>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and its Affiliates are not responsible for any decrease in the value of the Units granted and/or Shares issued under the Plan.</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Labor Law Acknowledgement and Policy Statement. </w:t>
      </w:r>
      <w:r>
        <w:rPr>
          <w:rFonts w:ascii="Times New Roman" w:cs="Times New Roman" w:eastAsia="Times New Roman" w:hAnsi="Times New Roman"/>
          <w:sz w:val="21"/>
          <w:szCs w:val="21"/>
          <w:color w:val="auto"/>
        </w:rPr>
        <w:t>In accepting any Award granted hereunder, you expressly recognize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w:t>
      </w:r>
      <w:r>
        <w:rPr>
          <w:rFonts w:ascii="Times New Roman" w:cs="Times New Roman" w:eastAsia="Times New Roman" w:hAnsi="Times New Roman"/>
          <w:sz w:val="21"/>
          <w:szCs w:val="21"/>
          <w:u w:val="single" w:color="auto"/>
          <w:color w:val="auto"/>
        </w:rPr>
        <w:t>Amgen-Mexico</w:t>
      </w:r>
      <w:r>
        <w:rPr>
          <w:rFonts w:ascii="Times New Roman" w:cs="Times New Roman" w:eastAsia="Times New Roman" w:hAnsi="Times New Roman"/>
          <w:sz w:val="21"/>
          <w:szCs w:val="21"/>
          <w:color w:val="auto"/>
        </w:rPr>
        <w:t>”). Based on the foregoing, you expressly recognize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A-12</w:t>
      </w:r>
    </w:p>
    <w:p>
      <w:pPr>
        <w:sectPr>
          <w:pgSz w:w="11900" w:h="16838" w:orient="portrait"/>
          <w:cols w:equalWidth="0" w:num="1">
            <w:col w:w="11420"/>
          </w:cols>
          <w:pgMar w:left="240" w:top="585" w:right="239" w:bottom="1440" w:gutter="0" w:footer="0" w:header="0"/>
        </w:sectPr>
      </w:pPr>
    </w:p>
    <w:bookmarkStart w:id="153" w:name="page154"/>
    <w:bookmarkEnd w:id="153"/>
    <w:p>
      <w:pPr>
        <w:jc w:val="both"/>
        <w:spacing w:after="0" w:line="252" w:lineRule="auto"/>
        <w:rPr>
          <w:sz w:val="20"/>
          <w:szCs w:val="20"/>
          <w:color w:val="auto"/>
        </w:rPr>
      </w:pPr>
      <w:r>
        <w:rPr>
          <w:rFonts w:ascii="Times New Roman" w:cs="Times New Roman" w:eastAsia="Times New Roman" w:hAnsi="Times New Roman"/>
          <w:sz w:val="22"/>
          <w:szCs w:val="22"/>
          <w:color w:val="auto"/>
        </w:rPr>
        <w:t>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Reconocimiento del Otorgamiento. </w:t>
      </w:r>
      <w:r>
        <w:rPr>
          <w:rFonts w:ascii="Times New Roman" w:cs="Times New Roman" w:eastAsia="Times New Roman" w:hAnsi="Times New Roman"/>
          <w:sz w:val="21"/>
          <w:szCs w:val="21"/>
          <w:color w:val="auto"/>
        </w:rPr>
        <w:t>Al aceptar cualquier Otorgamiento bajo el presente documento, usted reconoce que ha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 del Acuerdo, en los que se establece y describe claramente que:</w:t>
      </w:r>
    </w:p>
    <w:p>
      <w:pPr>
        <w:spacing w:after="0" w:line="16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de ninguna manera constituye un derecho adquirido.</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 Plan y su participación en el mismo son ofrecidos por Amgen Inc. de forma completamente discrecional.</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es voluntaria.</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y sus Afiliados no son responsables de ninguna disminución en el valor de Unidades o de las Acciones Comunes emitidas mediante el Plan.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de Acciones bajo el presente,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w:t>
      </w:r>
      <w:r>
        <w:rPr>
          <w:rFonts w:ascii="Times New Roman" w:cs="Times New Roman" w:eastAsia="Times New Roman" w:hAnsi="Times New Roman"/>
          <w:sz w:val="21"/>
          <w:szCs w:val="21"/>
          <w:u w:val="single" w:color="auto"/>
          <w:color w:val="auto"/>
        </w:rPr>
        <w:t>Amgen-México</w:t>
      </w:r>
      <w:r>
        <w:rPr>
          <w:rFonts w:ascii="Times New Roman" w:cs="Times New Roman" w:eastAsia="Times New Roman" w:hAnsi="Times New Roman"/>
          <w:sz w:val="21"/>
          <w:szCs w:val="21"/>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Finalmente, usted manifiesta que no se reserva ninguna acción o derecho que origine una demanda en contra de Amgen Inc., por cualquier compensación o daños y perjuicios, en relación con cualquier disposición del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A-13</w:t>
      </w:r>
    </w:p>
    <w:p>
      <w:pPr>
        <w:sectPr>
          <w:pgSz w:w="11900" w:h="16838" w:orient="portrait"/>
          <w:cols w:equalWidth="0" w:num="1">
            <w:col w:w="11420"/>
          </w:cols>
          <w:pgMar w:left="240" w:top="369" w:right="239" w:bottom="1440" w:gutter="0" w:footer="0" w:header="0"/>
        </w:sectPr>
      </w:pPr>
    </w:p>
    <w:bookmarkStart w:id="154" w:name="page155"/>
    <w:bookmarkEnd w:id="154"/>
    <w:p>
      <w:pPr>
        <w:jc w:val="both"/>
        <w:spacing w:after="0" w:line="257" w:lineRule="auto"/>
        <w:rPr>
          <w:sz w:val="20"/>
          <w:szCs w:val="20"/>
          <w:color w:val="auto"/>
        </w:rPr>
      </w:pPr>
      <w:r>
        <w:rPr>
          <w:rFonts w:ascii="Times New Roman" w:cs="Times New Roman" w:eastAsia="Times New Roman" w:hAnsi="Times New Roman"/>
          <w:sz w:val="22"/>
          <w:szCs w:val="22"/>
          <w:color w:val="auto"/>
        </w:rPr>
        <w:t>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MOROCCO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Morocco,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Units. Alternatively, if the Shares are not immediately sold upon settlement of the Units, the Company may require the sale of any Shares at a later date, including upon termination of your employment.</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Units are not immediately sold, you acknowledge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(Office des Changes). Further, you acknowledge and understand that the net proceeds that you realize from your participation in the Plan must be converted from U.S. dollars to Dirham, and that neither the Company nor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A-14</w:t>
      </w:r>
    </w:p>
    <w:p>
      <w:pPr>
        <w:sectPr>
          <w:pgSz w:w="11900" w:h="16838" w:orient="portrait"/>
          <w:cols w:equalWidth="0" w:num="1">
            <w:col w:w="11420"/>
          </w:cols>
          <w:pgMar w:left="240" w:top="369" w:right="239" w:bottom="1440" w:gutter="0" w:footer="0" w:header="0"/>
        </w:sectPr>
      </w:pPr>
    </w:p>
    <w:bookmarkStart w:id="155" w:name="page156"/>
    <w:bookmarkEnd w:id="155"/>
    <w:p>
      <w:pPr>
        <w:jc w:val="both"/>
        <w:spacing w:after="0" w:line="263" w:lineRule="auto"/>
        <w:rPr>
          <w:sz w:val="20"/>
          <w:szCs w:val="20"/>
          <w:color w:val="auto"/>
        </w:rPr>
      </w:pPr>
      <w:r>
        <w:rPr>
          <w:rFonts w:ascii="Times New Roman" w:cs="Times New Roman" w:eastAsia="Times New Roman" w:hAnsi="Times New Roman"/>
          <w:sz w:val="21"/>
          <w:szCs w:val="21"/>
          <w:color w:val="auto"/>
        </w:rPr>
        <w:t>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grant of Units is considered a private offering in Peru; therefore, it is not subject to registration.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Polish residents holding foreign securities (including Shares) and maintaining accounts abroad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PORTUGAL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You hereby expressly declare that you have full knowledge of the English language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have read, understood and fully accepted and agreed with the terms and conditions established in the Plan and Agreement.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A-15</w:t>
      </w:r>
    </w:p>
    <w:p>
      <w:pPr>
        <w:sectPr>
          <w:pgSz w:w="11900" w:h="16838" w:orient="portrait"/>
          <w:cols w:equalWidth="0" w:num="1">
            <w:col w:w="11420"/>
          </w:cols>
          <w:pgMar w:left="240" w:top="369" w:right="239" w:bottom="1440" w:gutter="0" w:footer="0" w:header="0"/>
        </w:sectPr>
      </w:pPr>
    </w:p>
    <w:bookmarkStart w:id="156" w:name="page157"/>
    <w:bookmarkEnd w:id="156"/>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Conhecimento da Lingua. </w:t>
      </w:r>
      <w:r>
        <w:rPr>
          <w:rFonts w:ascii="Times New Roman" w:cs="Times New Roman" w:eastAsia="Times New Roman" w:hAnsi="Times New Roman"/>
          <w:sz w:val="22"/>
          <w:szCs w:val="22"/>
          <w:i w:val="1"/>
          <w:iCs w:val="1"/>
          <w:color w:val="auto"/>
        </w:rPr>
        <w:t>Por meio do presente, eu declaro expressamente que tem pleno conhecimento da língua inglesa e que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li, compreendi e livremente aceitei e concordei com os termos e condições estabelecidas no Plano e no Acordo.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do not hold the Shares acquired under the Plan with a Portuguese financial intermediary,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need to file a report with the Portuguese Central Bank. If the Shares are held by a Portuguese financial intermediary, it will file the report for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ROMANIA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deposit proceeds from the sale of Shares or the receipt of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RUSSIA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Russian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to Russia the cash proceeds from the sale of the Shares issued to you upon settlement of the Units and from the receipt of any dividends paid on such Shares or Dividend Equivalents. You further understand that, under applicable laws, such proceeds must be initially credited to you through a foreign currency account opened in your name at an authorized bank in Russia. You further agree to comply with any other requirements that may be imposed by the Company in the future in order to facilitate compliance with exchange control requirements in Russia. Without limiting the generality of the foregoing, you acknowledge that the Company reserves the right, in its sole discretion depending on developments in Russian exchange control laws and regulations, to force the immediate sale of any Shares to be issued upon vesting of the Units. You further agree that, if applicable, the Company is authorized to instruct Merrill Lynch Bank &amp; Trust Co., FSB (or 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Shares, less any brokerage fees or commissions and subject to your obligations in connection with the Tax Obligations.</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Requirements. </w:t>
      </w:r>
      <w:r>
        <w:rPr>
          <w:rFonts w:ascii="Times New Roman" w:cs="Times New Roman" w:eastAsia="Times New Roman" w:hAnsi="Times New Roman"/>
          <w:sz w:val="22"/>
          <w:szCs w:val="22"/>
          <w:color w:val="auto"/>
        </w:rPr>
        <w:t>Any Units granted hereunder, the Agreement, including this Appendix, the Plan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you may receive regarding your participation in the Plan or any Units granted hereunder do not constitute advertising or an offering of securities in Russia. The issuance of Shares under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A-16</w:t>
      </w:r>
    </w:p>
    <w:p>
      <w:pPr>
        <w:sectPr>
          <w:pgSz w:w="11900" w:h="16838" w:orient="portrait"/>
          <w:cols w:equalWidth="0" w:num="1">
            <w:col w:w="11420"/>
          </w:cols>
          <w:pgMar w:left="240" w:top="581"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1"/>
          <w:szCs w:val="21"/>
          <w:color w:val="auto"/>
        </w:rPr>
        <w:t>the Plan has not and will not be registered in Russia; therefore, Shares may not be offered or placed in public circulation in Russia.</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no event will Shares acquired under the Plan be delivered to you in Russia; all Shares will be maintained on your behalf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are not permitted to sell any Shares acquired under the Plan directly to a Russian legal entity or resident.</w:t>
      </w:r>
    </w:p>
    <w:p>
      <w:pPr>
        <w:spacing w:after="0" w:line="2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Labor Law Information. </w:t>
      </w:r>
      <w:r>
        <w:rPr>
          <w:rFonts w:ascii="Times New Roman" w:cs="Times New Roman" w:eastAsia="Times New Roman" w:hAnsi="Times New Roman"/>
          <w:sz w:val="22"/>
          <w:szCs w:val="22"/>
          <w:color w:val="auto"/>
        </w:rPr>
        <w:t>You acknowledge that if you continue to hold Shares acquired under the Plan after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you will not be eligible to receive unemployment benefits in Russia.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supplements Section XIV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understand and agree that you must complete and return a Consent to Processing of Personal Data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After funds from the sale of Shares are initially received in Russia pursuant to your repatriation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w:t>
      </w:r>
    </w:p>
    <w:p>
      <w:pPr>
        <w:spacing w:after="0" w:line="3" w:lineRule="exact"/>
        <w:rPr>
          <w:sz w:val="20"/>
          <w:szCs w:val="20"/>
          <w:color w:val="auto"/>
        </w:rPr>
      </w:pPr>
    </w:p>
    <w:p>
      <w:pPr>
        <w:jc w:val="both"/>
        <w:ind w:firstLine="8"/>
        <w:spacing w:after="0" w:line="244" w:lineRule="auto"/>
        <w:tabs>
          <w:tab w:leader="none" w:pos="34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 Development (“</w:t>
      </w:r>
      <w:r>
        <w:rPr>
          <w:rFonts w:ascii="Times New Roman" w:cs="Times New Roman" w:eastAsia="Times New Roman" w:hAnsi="Times New Roman"/>
          <w:sz w:val="22"/>
          <w:szCs w:val="22"/>
          <w:u w:val="single" w:color="auto"/>
          <w:color w:val="auto"/>
        </w:rPr>
        <w:t>OECD</w:t>
      </w:r>
      <w:r>
        <w:rPr>
          <w:rFonts w:ascii="Times New Roman" w:cs="Times New Roman" w:eastAsia="Times New Roman" w:hAnsi="Times New Roman"/>
          <w:sz w:val="22"/>
          <w:szCs w:val="22"/>
          <w:color w:val="auto"/>
        </w:rPr>
        <w:t>”) or Financial Action Task Force (“</w:t>
      </w:r>
      <w:r>
        <w:rPr>
          <w:rFonts w:ascii="Times New Roman" w:cs="Times New Roman" w:eastAsia="Times New Roman" w:hAnsi="Times New Roman"/>
          <w:sz w:val="22"/>
          <w:szCs w:val="22"/>
          <w:u w:val="single" w:color="auto"/>
          <w:color w:val="auto"/>
        </w:rPr>
        <w:t>FATF</w:t>
      </w:r>
      <w:r>
        <w:rPr>
          <w:rFonts w:ascii="Times New Roman" w:cs="Times New Roman" w:eastAsia="Times New Roman" w:hAnsi="Times New Roman"/>
          <w:sz w:val="22"/>
          <w:szCs w:val="22"/>
          <w:color w:val="auto"/>
        </w:rPr>
        <w:t>”) countries, without first remitting them to your bank account in Russia. You are encouraged to contact your personal advisor before remitting your proceeds from participation in the Plan to Russia as exchange control requirements may change.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Anti-Corruption Legislation Information. </w:t>
      </w:r>
      <w:r>
        <w:rPr>
          <w:rFonts w:ascii="Times New Roman" w:cs="Times New Roman" w:eastAsia="Times New Roman" w:hAnsi="Times New Roman"/>
          <w:sz w:val="22"/>
          <w:szCs w:val="22"/>
          <w:color w:val="auto"/>
        </w:rPr>
        <w:t>Individuals holding public office in Russia, as well as their spouses and 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SAUDI ARABIA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This document may not be distributed in the Kingdom of Saudi Arabia except to such persons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Offers of Securities Regulations issued by the Capital Market Authority.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A-17</w:t>
      </w:r>
    </w:p>
    <w:p>
      <w:pPr>
        <w:sectPr>
          <w:pgSz w:w="11900" w:h="16838" w:orient="portrait"/>
          <w:cols w:equalWidth="0" w:num="1">
            <w:col w:w="11420"/>
          </w:cols>
          <w:pgMar w:left="240" w:top="369" w:right="239" w:bottom="1440" w:gutter="0" w:footer="0" w:header="0"/>
        </w:sectPr>
      </w:pPr>
    </w:p>
    <w:bookmarkStart w:id="158" w:name="page159"/>
    <w:bookmarkEnd w:id="158"/>
    <w:p>
      <w:pPr>
        <w:jc w:val="both"/>
        <w:spacing w:after="0" w:line="252"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Units is being made pursuant to the “Qualifying Person” exemption under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273(1)(f) of the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and is not made with a view to the Units being subsequently offered for sale to any other party. The Plan has not been lodged or registered as a prospectus with the Monetary Authority of Singapore. You should note that the Units are subject to section 257 of the SFA and you will not be able to make (i) any subsequent sale of Shares in Singapore or (ii) any offer of such subsequent sale of Shares subject to the Units in Singapore, unless such sale or offer is made pursuant to the exemptions under Part XIII Division (1) Subdivision (4) (other than section 280) of the SFA.</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Director Notification Requirement. </w:t>
      </w:r>
      <w:r>
        <w:rPr>
          <w:rFonts w:ascii="Times New Roman" w:cs="Times New Roman" w:eastAsia="Times New Roman" w:hAnsi="Times New Roman"/>
          <w:sz w:val="21"/>
          <w:szCs w:val="21"/>
          <w:color w:val="auto"/>
        </w:rPr>
        <w:t>Directors, associate directors and shadow directors of a Singapore Affiliate are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certain notification requirements under the Singapore Companies Act. Directors, associate directors and shadow directors must notify the Singapore Affiliate in writing of an interest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Units, Shares, etc.) in the Company or any related company within two</w:t>
      </w:r>
    </w:p>
    <w:p>
      <w:pPr>
        <w:spacing w:after="0" w:line="1" w:lineRule="exact"/>
        <w:rPr>
          <w:sz w:val="20"/>
          <w:szCs w:val="20"/>
          <w:color w:val="auto"/>
        </w:rPr>
      </w:pPr>
    </w:p>
    <w:p>
      <w:pPr>
        <w:ind w:right="20" w:firstLine="8"/>
        <w:spacing w:after="0" w:line="248" w:lineRule="auto"/>
        <w:tabs>
          <w:tab w:leader="none" w:pos="3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(i) its acquisition or disposal, (ii) any change in a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when the Shares are sold), or (iii) becoming a director, associate director or shadow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SLOVAK REPUBLIC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permanently reside in the Slovak Republic and, apart from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www.nbs.sk.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SLOVENIA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SOUTH AFRICA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Responsibility for Taxes. </w:t>
      </w:r>
      <w:r>
        <w:rPr>
          <w:rFonts w:ascii="Times New Roman" w:cs="Times New Roman" w:eastAsia="Times New Roman" w:hAnsi="Times New Roman"/>
          <w:sz w:val="22"/>
          <w:szCs w:val="22"/>
          <w:color w:val="auto"/>
        </w:rPr>
        <w:t>The following provision supplements Section III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Units, you agree that, immediately upon vesting and settlement of the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A-18</w:t>
      </w:r>
    </w:p>
    <w:p>
      <w:pPr>
        <w:sectPr>
          <w:pgSz w:w="11900" w:h="16838" w:orient="portrait"/>
          <w:cols w:equalWidth="0" w:num="1">
            <w:col w:w="11420"/>
          </w:cols>
          <w:pgMar w:left="240" w:top="369"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Because no transfer of funds from South Africa is required under the Units, no filing or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should apply when the Units are granted or when Shares are issued upon vesting and settlement of the Units. However, because the exchange control regulations are subject to change, you should consult your personal advisor prior to vesting and settlement of the Units to ensure compliance with current regulations. You are responsible for ensuring compliance with all exchange control laws in South Africa.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 Acknowledgement. </w:t>
      </w:r>
      <w:r>
        <w:rPr>
          <w:rFonts w:ascii="Times New Roman" w:cs="Times New Roman" w:eastAsia="Times New Roman" w:hAnsi="Times New Roman"/>
          <w:sz w:val="22"/>
          <w:szCs w:val="22"/>
          <w:color w:val="auto"/>
        </w:rPr>
        <w:t>The following provision supplements Section XI of the Agreement:</w:t>
      </w:r>
    </w:p>
    <w:p>
      <w:pPr>
        <w:spacing w:after="0" w:line="2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By accepting the Units granted hereunder, you consent to participation in the Plan and acknowledge that you have received a copy of the Plan.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You understand that the Company has unilaterally, gratuitously and in its sole discretion decided to grant any Units under the Plan to individuals who may be members of the Board, Employees or Consultants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acknowledge that you have read and specifically accept the conditions referred to in Section I of the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A-19</w:t>
      </w:r>
    </w:p>
    <w:p>
      <w:pPr>
        <w:sectPr>
          <w:pgSz w:w="11900" w:h="16838" w:orient="portrait"/>
          <w:cols w:equalWidth="0" w:num="1">
            <w:col w:w="11420"/>
          </w:cols>
          <w:pgMar w:left="240" w:top="579"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No “offer of securities to the public,” as defined under Spanish law, has taken place or will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place in the Spanish territory. The Agreement (including this Appendix) has not been nor will it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acquire Shares under the Plan, you must declare the acquisition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Direccion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de Comercio e Inversiones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DGCI</w:t>
      </w:r>
      <w:r>
        <w:rPr>
          <w:rFonts w:ascii="Times New Roman" w:cs="Times New Roman" w:eastAsia="Times New Roman" w:hAnsi="Times New Roman"/>
          <w:sz w:val="22"/>
          <w:szCs w:val="22"/>
          <w:color w:val="auto"/>
        </w:rPr>
        <w:t>”). If you acquire the Shares through the use of a Spanish financial institution,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electronically to the Bank of Spain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Notification. </w:t>
      </w:r>
      <w:r>
        <w:rPr>
          <w:rFonts w:ascii="Times New Roman" w:cs="Times New Roman" w:eastAsia="Times New Roman" w:hAnsi="Times New Roman"/>
          <w:sz w:val="22"/>
          <w:szCs w:val="22"/>
          <w:color w:val="auto"/>
        </w:rPr>
        <w:t>The Units offered hereunder are considered a private offering in Switzerland and are, therefore,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registration in Switzerland.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TAIWAN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may acquire and remit foreign currency (including proceeds from the sale of Shares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A-20</w:t>
      </w:r>
    </w:p>
    <w:p>
      <w:pPr>
        <w:sectPr>
          <w:pgSz w:w="11900" w:h="16838" w:orient="portrait"/>
          <w:cols w:equalWidth="0" w:num="1">
            <w:col w:w="11420"/>
          </w:cols>
          <w:pgMar w:left="240" w:top="363"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b w:val="1"/>
          <w:bCs w:val="1"/>
          <w:u w:val="single" w:color="auto"/>
          <w:color w:val="auto"/>
        </w:rPr>
        <w:t>THAILAND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proceeds from the sale of Shares or the receipt of any dividends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TUNISIA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hold assets (including Shares acquired under the Plan) outside Tunisia and the value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assets exceeds a certain threshold (currently TDN 500), you must declare the assets to the Central Bank of Tunisia within six</w:t>
      </w:r>
    </w:p>
    <w:p>
      <w:pPr>
        <w:spacing w:after="0" w:line="2" w:lineRule="exact"/>
        <w:rPr>
          <w:sz w:val="20"/>
          <w:szCs w:val="20"/>
          <w:color w:val="auto"/>
        </w:rPr>
      </w:pPr>
    </w:p>
    <w:p>
      <w:pPr>
        <w:jc w:val="both"/>
        <w:ind w:right="20" w:firstLine="8"/>
        <w:spacing w:after="0" w:line="246" w:lineRule="auto"/>
        <w:tabs>
          <w:tab w:leader="none" w:pos="32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TURKEY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Under Turkish law, you are not permitted to sell Shares acquired under the Plan in Turkey. You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Pursuant to Decree No. 32 on the Protection of the Value of the Turkish Currency (“</w:t>
      </w:r>
      <w:r>
        <w:rPr>
          <w:rFonts w:ascii="Times New Roman" w:cs="Times New Roman" w:eastAsia="Times New Roman" w:hAnsi="Times New Roman"/>
          <w:sz w:val="22"/>
          <w:szCs w:val="22"/>
          <w:u w:val="single" w:color="auto"/>
          <w:color w:val="auto"/>
        </w:rPr>
        <w:t>Decree 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Communique No. 2008-32/34 on Decree No. 32, any activity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 Shares under the Plan, the receipt of cash dividends or 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ARAB EMIRATES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color w:val="auto"/>
        </w:rPr>
        <w:t>Units under the Plan are granted only to select Board members, Employees and Consultants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Affiliates and are for the purpose of providing equity incentives. The Plan and the Agreement are intended for distribution only to such Board members, Employees and Consultants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A-21</w:t>
      </w:r>
    </w:p>
    <w:p>
      <w:pPr>
        <w:sectPr>
          <w:pgSz w:w="11900" w:h="16838" w:orient="portrait"/>
          <w:cols w:equalWidth="0" w:num="1">
            <w:col w:w="11420"/>
          </w:cols>
          <w:pgMar w:left="240" w:top="365" w:right="239" w:bottom="1440" w:gutter="0" w:footer="0" w:header="0"/>
        </w:sectPr>
      </w:pPr>
    </w:p>
    <w:bookmarkStart w:id="162" w:name="page163"/>
    <w:bookmarkEnd w:id="162"/>
    <w:p>
      <w:pPr>
        <w:jc w:val="both"/>
        <w:spacing w:after="0" w:line="271" w:lineRule="auto"/>
        <w:rPr>
          <w:sz w:val="20"/>
          <w:szCs w:val="20"/>
          <w:color w:val="auto"/>
        </w:rPr>
      </w:pPr>
      <w:r>
        <w:rPr>
          <w:rFonts w:ascii="Times New Roman" w:cs="Times New Roman" w:eastAsia="Times New Roman" w:hAnsi="Times New Roman"/>
          <w:sz w:val="22"/>
          <w:szCs w:val="22"/>
          <w:color w:val="auto"/>
        </w:rPr>
        <w:t>Economic Development have not approved the Plan or the Agreement nor taken steps to verify the information set out therein, and have no responsibility for such documents.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This provision supplements Section III of the Agreement:</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You agree that if you do not pay or your Employer or the Company does not withhold from you the full amount of income tax that you owe at issuance of Shares in respect of the Units, or the release or assignment of the Units for consideration, or the receipt of any other benefit in connection with the Units (the “</w:t>
      </w:r>
      <w:r>
        <w:rPr>
          <w:rFonts w:ascii="Times New Roman" w:cs="Times New Roman" w:eastAsia="Times New Roman" w:hAnsi="Times New Roman"/>
          <w:sz w:val="22"/>
          <w:szCs w:val="22"/>
          <w:u w:val="single" w:color="auto"/>
          <w:color w:val="auto"/>
        </w:rPr>
        <w:t>Taxable Event</w:t>
      </w:r>
      <w:r>
        <w:rPr>
          <w:rFonts w:ascii="Times New Roman" w:cs="Times New Roman" w:eastAsia="Times New Roman" w:hAnsi="Times New Roman"/>
          <w:sz w:val="22"/>
          <w:szCs w:val="22"/>
          <w:color w:val="auto"/>
        </w:rPr>
        <w:t>”) within 90 days after the end of the tax year in which the Taxable Event occurs, or such other period specified in Section 222(1)(c) of the U.K. Income Tax (Earnings and Pensions) Act 2003 (the “</w:t>
      </w:r>
      <w:r>
        <w:rPr>
          <w:rFonts w:ascii="Times New Roman" w:cs="Times New Roman" w:eastAsia="Times New Roman" w:hAnsi="Times New Roman"/>
          <w:sz w:val="22"/>
          <w:szCs w:val="22"/>
          <w:u w:val="single" w:color="auto"/>
          <w:color w:val="auto"/>
        </w:rPr>
        <w:t>Due Date</w:t>
      </w:r>
      <w:r>
        <w:rPr>
          <w:rFonts w:ascii="Times New Roman" w:cs="Times New Roman" w:eastAsia="Times New Roman" w:hAnsi="Times New Roman"/>
          <w:sz w:val="22"/>
          <w:szCs w:val="22"/>
          <w:color w:val="auto"/>
        </w:rPr>
        <w:t>”), then the amount that should have been withheld and/or paid shall constitute a loan owed by you to your Employer, effective on the Due Date. You agree that the loan will bear interest at the official rate of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and will be immediately due and repayable by you, and the Company and/or your Employer may recover it at any time thereafter (subject to Section III of the Agreement) by any of the means described in Section III of the Agreement. You also authorize the Company to delay the issuance of any Shares to you unless and until the loan is repaid in full.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within the meaning of Section 13(k) of the Exchange Act, as amended from time to time, the terms of the immediately foregoing provision will not apply. In the event that you are an officer or executive director and income tax is not collected from you by the Due Date, the amount of any uncollected income tax may constitute a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your Employer may recover from you by any of the means set forth in Section III of the Agreement.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Joint Election. </w:t>
      </w:r>
      <w:r>
        <w:rPr>
          <w:rFonts w:ascii="Times New Roman" w:cs="Times New Roman" w:eastAsia="Times New Roman" w:hAnsi="Times New Roman"/>
          <w:sz w:val="22"/>
          <w:szCs w:val="22"/>
          <w:color w:val="auto"/>
        </w:rPr>
        <w:t>As a condition of the Units granted hereunder, you agree to accept any liability for secondary Class 1 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Contributions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Without limitation to the foregoing, you agree to make an election (the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A-22</w:t>
      </w:r>
    </w:p>
    <w:p>
      <w:pPr>
        <w:sectPr>
          <w:pgSz w:w="11900" w:h="16838" w:orient="portrait"/>
          <w:cols w:equalWidth="0" w:num="1">
            <w:col w:w="11420"/>
          </w:cols>
          <w:pgMar w:left="240" w:top="369"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Employment. </w:t>
      </w:r>
      <w:r>
        <w:rPr>
          <w:rFonts w:ascii="Times New Roman" w:cs="Times New Roman" w:eastAsia="Times New Roman" w:hAnsi="Times New Roman"/>
          <w:sz w:val="22"/>
          <w:szCs w:val="22"/>
          <w:color w:val="auto"/>
        </w:rPr>
        <w:t>The following provision replaces Section I(i) of the Agreement:</w:t>
      </w:r>
    </w:p>
    <w:p>
      <w:pPr>
        <w:spacing w:after="0" w:line="224" w:lineRule="exact"/>
        <w:rPr>
          <w:sz w:val="20"/>
          <w:szCs w:val="20"/>
          <w:color w:val="auto"/>
        </w:rPr>
      </w:pPr>
    </w:p>
    <w:p>
      <w:pPr>
        <w:jc w:val="both"/>
        <w:ind w:firstLine="8"/>
        <w:spacing w:after="0"/>
        <w:tabs>
          <w:tab w:leader="none" w:pos="39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your active employment</w:t>
      </w:r>
      <w:r>
        <w:rPr>
          <w:rFonts w:ascii="Times New Roman" w:cs="Times New Roman" w:eastAsia="Times New Roman" w:hAnsi="Times New Roman"/>
          <w:sz w:val="22"/>
          <w:szCs w:val="22"/>
          <w:color w:val="auto"/>
        </w:rPr>
        <w:t xml:space="preserve">” shall mean the last date that you are either an active employee of the Company or an Affiliate or actively engaged as a Consultant or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right will be extended by any notice period mandated by law (e.g. the Worker Adjustment and Retraining Notification Act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in no event shall payment of the Units be made after the close of your taxable year which includes the applicable Vesting Date or, if later, after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calendar month following the applicable Vesting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VENEZUELA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Units Payable Only in Shares. </w:t>
      </w:r>
      <w:r>
        <w:rPr>
          <w:rFonts w:ascii="Times New Roman" w:cs="Times New Roman" w:eastAsia="Times New Roman" w:hAnsi="Times New Roman"/>
          <w:sz w:val="22"/>
          <w:szCs w:val="22"/>
          <w:color w:val="auto"/>
        </w:rPr>
        <w:t>Notwithstanding any discretion in the Plan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Units do not provide any right for you, as a resident of Venezuela, to receive a cash payment and shall be paid in Shares only.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Any Shares acquired under the Plan are intended to be a personal investment and are not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of reselling the Shares and converting the proceeds into foreign currency. You are advised to consult with your personal legal advisor prior to vesting and settlement of the Units to ensure compliance with the applicable exchange control regulations in Venezuela, as such regulations change frequently. You are solely responsible for ensuring compliance with all exchange control laws in Venezuela.</w:t>
      </w:r>
    </w:p>
    <w:p>
      <w:pPr>
        <w:spacing w:after="0" w:line="17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Units granted under the Plan and the Shares issued under the Plan are offered as a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private, exclusive transaction and do not constitute a public offering under local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A-23</w:t>
      </w:r>
    </w:p>
    <w:p>
      <w:pPr>
        <w:sectPr>
          <w:pgSz w:w="11900" w:h="16838" w:orient="portrait"/>
          <w:cols w:equalWidth="0" w:num="1">
            <w:col w:w="11420"/>
          </w:cols>
          <w:pgMar w:left="240" w:top="581" w:right="239" w:bottom="1440" w:gutter="0" w:footer="0" w:header="0"/>
        </w:sectPr>
      </w:pPr>
    </w:p>
    <w:bookmarkStart w:id="164" w:name="page165"/>
    <w:bookmarkEnd w:id="164"/>
    <w:p>
      <w:pPr>
        <w:spacing w:after="0" w:line="213" w:lineRule="auto"/>
        <w:framePr w:w="8900" w:h="449" w:wrap="auto" w:vAnchor="page" w:hAnchor="page" w:x="2800" w:y="4917"/>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Amended and Restated 2009 Equity Incentive Plan, as amended and/or restated from time to time</w:t>
      </w:r>
    </w:p>
    <w:p>
      <w:pPr>
        <w:spacing w:after="0" w:line="191" w:lineRule="auto"/>
        <w:framePr w:w="8200" w:h="193" w:wrap="auto" w:vAnchor="page" w:hAnchor="page" w:x="2800" w:y="5431"/>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Amgen Inc. 2009 Performance Award Program, as amended and/or restated from time to time</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57" w:lineRule="exact"/>
        <w:rPr>
          <w:rFonts w:ascii="Times New Roman" w:cs="Times New Roman" w:eastAsia="Times New Roman" w:hAnsi="Times New Roman"/>
          <w:sz w:val="21"/>
          <w:szCs w:val="2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Award Notice</w:t>
      </w:r>
    </w:p>
    <w:p>
      <w:pPr>
        <w:spacing w:after="0" w:line="218" w:lineRule="exact"/>
        <w:rPr>
          <w:rFonts w:ascii="Times New Roman" w:cs="Times New Roman" w:eastAsia="Times New Roman" w:hAnsi="Times New Roman"/>
          <w:sz w:val="21"/>
          <w:szCs w:val="21"/>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information set forth in this Award Notice will be contained on the related pages on Merrill Lynch Benefits Website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Times New Roman" w:cs="Times New Roman" w:eastAsia="Times New Roman" w:hAnsi="Times New Roman"/>
          <w:sz w:val="22"/>
          <w:szCs w:val="22"/>
          <w:b w:val="1"/>
          <w:bCs w:val="1"/>
          <w:color w:val="auto"/>
        </w:rPr>
        <w:t>]</w:t>
      </w:r>
    </w:p>
    <w:p>
      <w:pPr>
        <w:spacing w:after="0" w:line="178" w:lineRule="exact"/>
        <w:rPr>
          <w:rFonts w:ascii="Times New Roman" w:cs="Times New Roman" w:eastAsia="Times New Roman" w:hAnsi="Times New Roman"/>
          <w:sz w:val="21"/>
          <w:szCs w:val="21"/>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notice of Award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3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Employee ID:</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Award Type:</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Grant ID:</w:t>
      </w:r>
    </w:p>
    <w:p>
      <w:pPr>
        <w:spacing w:after="0" w:line="1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40"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Program</w:t>
      </w:r>
    </w:p>
    <w:p>
      <w:pPr>
        <w:spacing w:after="0" w:line="28"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6"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Number of Shares</w:t>
      </w:r>
    </w:p>
    <w:p>
      <w:pPr>
        <w:spacing w:after="0" w:line="15"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Number of Performance Units</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Resolutions:</w:t>
      </w:r>
      <w:r>
        <w:rPr>
          <w:sz w:val="20"/>
          <w:szCs w:val="20"/>
          <w:color w:val="auto"/>
        </w:rPr>
        <w:tab/>
      </w:r>
      <w:r>
        <w:rPr>
          <w:rFonts w:ascii="Times New Roman" w:cs="Times New Roman" w:eastAsia="Times New Roman" w:hAnsi="Times New Roman"/>
          <w:sz w:val="22"/>
          <w:szCs w:val="22"/>
          <w:color w:val="auto"/>
        </w:rPr>
        <w:t>The Resolutions of the Compensation and Management Development Committee of the Board of</w:t>
      </w:r>
    </w:p>
    <w:p>
      <w:pPr>
        <w:spacing w:after="0" w:line="4" w:lineRule="exact"/>
        <w:rPr>
          <w:rFonts w:ascii="Times New Roman" w:cs="Times New Roman" w:eastAsia="Times New Roman" w:hAnsi="Times New Roman"/>
          <w:sz w:val="21"/>
          <w:szCs w:val="21"/>
          <w:color w:val="auto"/>
        </w:rPr>
      </w:pPr>
    </w:p>
    <w:p>
      <w:pPr>
        <w:ind w:left="2600"/>
        <w:spacing w:after="0"/>
        <w:rPr>
          <w:sz w:val="20"/>
          <w:szCs w:val="20"/>
          <w:color w:val="auto"/>
        </w:rPr>
      </w:pPr>
      <w:r>
        <w:rPr>
          <w:rFonts w:ascii="Times New Roman" w:cs="Times New Roman" w:eastAsia="Times New Roman" w:hAnsi="Times New Roman"/>
          <w:sz w:val="22"/>
          <w:szCs w:val="22"/>
          <w:color w:val="auto"/>
        </w:rPr>
        <w:t>Directors of Amgen Inc., adopted on _____________, regarding the Amgen Inc. 2009 Performance</w:t>
      </w:r>
    </w:p>
    <w:p>
      <w:pPr>
        <w:spacing w:after="0" w:line="4" w:lineRule="exact"/>
        <w:rPr>
          <w:rFonts w:ascii="Times New Roman" w:cs="Times New Roman" w:eastAsia="Times New Roman" w:hAnsi="Times New Roman"/>
          <w:sz w:val="21"/>
          <w:szCs w:val="21"/>
          <w:color w:val="auto"/>
        </w:rPr>
      </w:pPr>
    </w:p>
    <w:p>
      <w:pPr>
        <w:ind w:left="2600"/>
        <w:spacing w:after="0"/>
        <w:rPr>
          <w:sz w:val="20"/>
          <w:szCs w:val="20"/>
          <w:color w:val="auto"/>
        </w:rPr>
      </w:pPr>
      <w:r>
        <w:rPr>
          <w:rFonts w:ascii="Times New Roman" w:cs="Times New Roman" w:eastAsia="Times New Roman" w:hAnsi="Times New Roman"/>
          <w:sz w:val="22"/>
          <w:szCs w:val="22"/>
          <w:color w:val="auto"/>
        </w:rPr>
        <w:t>Award Program, as amended from time to time</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Performance Period:</w:t>
      </w:r>
      <w:r>
        <w:rPr>
          <w:sz w:val="20"/>
          <w:szCs w:val="20"/>
          <w:color w:val="auto"/>
        </w:rPr>
        <w:tab/>
      </w:r>
      <w:r>
        <w:rPr>
          <w:rFonts w:ascii="Times New Roman" w:cs="Times New Roman" w:eastAsia="Times New Roman" w:hAnsi="Times New Roman"/>
          <w:sz w:val="21"/>
          <w:szCs w:val="21"/>
          <w:color w:val="auto"/>
        </w:rPr>
        <w:t>The Performance Period beginning on ____, 20__ and ending on _______, 20__</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Date:</w:t>
      </w:r>
      <w:r>
        <w:rPr>
          <w:sz w:val="20"/>
          <w:szCs w:val="20"/>
          <w:color w:val="auto"/>
        </w:rPr>
        <w:tab/>
      </w:r>
      <w:r>
        <w:rPr>
          <w:rFonts w:ascii="Times New Roman" w:cs="Times New Roman" w:eastAsia="Times New Roman" w:hAnsi="Times New Roman"/>
          <w:sz w:val="21"/>
          <w:szCs w:val="21"/>
          <w:color w:val="auto"/>
        </w:rPr>
        <w:t>Means the vesting date indicated in the Vesting Schedule</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Schedule:</w:t>
      </w:r>
      <w:r>
        <w:rPr>
          <w:sz w:val="20"/>
          <w:szCs w:val="20"/>
          <w:color w:val="auto"/>
        </w:rPr>
        <w:tab/>
      </w:r>
      <w:r>
        <w:rPr>
          <w:rFonts w:ascii="Times New Roman" w:cs="Times New Roman" w:eastAsia="Times New Roman" w:hAnsi="Times New Roman"/>
          <w:sz w:val="21"/>
          <w:szCs w:val="21"/>
          <w:color w:val="auto"/>
        </w:rPr>
        <w:t>Means the schedule of vesting set forth under Vesting Details</w:t>
      </w:r>
    </w:p>
    <w:p>
      <w:pPr>
        <w:spacing w:after="0" w:line="4" w:lineRule="exact"/>
        <w:rPr>
          <w:rFonts w:ascii="Times New Roman" w:cs="Times New Roman" w:eastAsia="Times New Roman" w:hAnsi="Times New Roman"/>
          <w:sz w:val="21"/>
          <w:szCs w:val="21"/>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Vesting Details:</w:t>
      </w:r>
      <w:r>
        <w:rPr>
          <w:sz w:val="20"/>
          <w:szCs w:val="20"/>
          <w:color w:val="auto"/>
        </w:rPr>
        <w:tab/>
      </w:r>
      <w:r>
        <w:rPr>
          <w:rFonts w:ascii="Times New Roman" w:cs="Times New Roman" w:eastAsia="Times New Roman" w:hAnsi="Times New Roman"/>
          <w:sz w:val="21"/>
          <w:szCs w:val="21"/>
          <w:color w:val="auto"/>
        </w:rPr>
        <w:t>Means the presentation (tabular or otherwise) of the Vesting Date and the quantity of Shares vesting.</w:t>
      </w:r>
    </w:p>
    <w:p>
      <w:pPr>
        <w:spacing w:after="0" w:line="187"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IMPORTANT NOTICE REGARDING ACCEPTANCE OF THE AWARD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1"/>
          <w:szCs w:val="21"/>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RESIDENTS OF THE U.S. AND PUERTO RICO</w:t>
      </w:r>
      <w:r>
        <w:rPr>
          <w:rFonts w:ascii="Times New Roman" w:cs="Times New Roman" w:eastAsia="Times New Roman" w:hAnsi="Times New Roman"/>
          <w:sz w:val="22"/>
          <w:szCs w:val="22"/>
          <w:color w:val="auto"/>
        </w:rPr>
        <w:t>: Please read this Award Notice, the Plan and the Agreement (collectively,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Documents</w:t>
      </w:r>
      <w:r>
        <w:rPr>
          <w:rFonts w:ascii="Times New Roman" w:cs="Times New Roman" w:eastAsia="Times New Roman" w:hAnsi="Times New Roman"/>
          <w:sz w:val="22"/>
          <w:szCs w:val="22"/>
          <w:color w:val="auto"/>
        </w:rPr>
        <w:t xml:space="preserve">”) carefully. If you, as a resident of the U.S. or Puerto Rico,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wish to receive this Award and/or you do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w:t>
      </w:r>
    </w:p>
    <w:p>
      <w:pPr>
        <w:spacing w:after="0" w:line="235" w:lineRule="auto"/>
        <w:rPr>
          <w:sz w:val="20"/>
          <w:szCs w:val="20"/>
          <w:color w:val="auto"/>
        </w:rPr>
      </w:pPr>
      <w:r>
        <w:rPr>
          <w:rFonts w:ascii="Times New Roman" w:cs="Times New Roman" w:eastAsia="Times New Roman" w:hAnsi="Times New Roman"/>
          <w:sz w:val="22"/>
          <w:szCs w:val="22"/>
          <w:color w:val="auto"/>
        </w:rPr>
        <w:t>_________________________</w:t>
      </w:r>
    </w:p>
    <w:p>
      <w:pPr>
        <w:ind w:left="120" w:hanging="112"/>
        <w:spacing w:after="0" w:line="198" w:lineRule="auto"/>
        <w:tabs>
          <w:tab w:leader="none" w:pos="120" w:val="left"/>
        </w:tabs>
        <w:numPr>
          <w:ilvl w:val="0"/>
          <w:numId w:val="7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22"/>
          <w:szCs w:val="22"/>
          <w:i w:val="1"/>
          <w:iCs w:val="1"/>
          <w:color w:val="auto"/>
        </w:rPr>
        <w:t>.This provision is only for use on the form of grant used for the U.S. and Puerto Rico.</w:t>
      </w:r>
    </w:p>
    <w:p>
      <w:pPr>
        <w:sectPr>
          <w:pgSz w:w="11900" w:h="16838" w:orient="portrait"/>
          <w:cols w:equalWidth="0" w:num="1">
            <w:col w:w="11420"/>
          </w:cols>
          <w:pgMar w:left="240" w:top="117"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3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notify the Company of your rejection of the Award within this specified period will constitute your acceptance of the Award and your agreement with all terms and conditions of the Award, as set forth in the Grant Documents.</w:t>
      </w:r>
    </w:p>
    <w:p>
      <w:pPr>
        <w:sectPr>
          <w:pgSz w:w="11900" w:h="16838" w:orient="portrait"/>
          <w:cols w:equalWidth="0" w:num="1">
            <w:col w:w="11420"/>
          </w:cols>
          <w:pgMar w:left="240" w:top="117" w:right="2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AGREEMENT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 WHICH ACCOMPANIES THIS DOCUMENT. THE TERMS OF THE AWARD NOTICE ARE INCORPORATED INTO THIS PERFORMANCE UNIT AGREEMENT.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On the Grant Date specified in the Award Notice, Amgen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granted to you, the grantee named in the Award Notice, under the Amgen Inc. Amended and Restated 2009 Equity Incentive Plan, as amended and/or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Number of Performance Units (the “</w:t>
      </w:r>
      <w:r>
        <w:rPr>
          <w:rFonts w:ascii="Times New Roman" w:cs="Times New Roman" w:eastAsia="Times New Roman" w:hAnsi="Times New Roman"/>
          <w:sz w:val="21"/>
          <w:szCs w:val="21"/>
          <w:u w:val="single" w:color="auto"/>
          <w:color w:val="auto"/>
        </w:rPr>
        <w:t>Performance Units</w:t>
      </w:r>
      <w:r>
        <w:rPr>
          <w:rFonts w:ascii="Times New Roman" w:cs="Times New Roman" w:eastAsia="Times New Roman" w:hAnsi="Times New Roman"/>
          <w:sz w:val="21"/>
          <w:szCs w:val="21"/>
          <w:color w:val="auto"/>
        </w:rPr>
        <w:t xml:space="preserve">”) specified in the Award Notice on the terms and conditions set forth in this Performance Unit Agreement (and any applicable special terms and conditions for your country set forth in the attached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(as described in greater detail in Section XIV below)) (collectively,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Plan, the Amgen Inc. 2009 Performance Award Program (the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and the Resolutions (as defined below). Capitalized terms not defined herein shall have the meanings assigned to such terms in the Program.</w:t>
      </w:r>
    </w:p>
    <w:p>
      <w:pPr>
        <w:spacing w:after="0" w:line="215" w:lineRule="exact"/>
        <w:rPr>
          <w:sz w:val="20"/>
          <w:szCs w:val="20"/>
          <w:color w:val="auto"/>
        </w:rPr>
      </w:pPr>
    </w:p>
    <w:p>
      <w:pPr>
        <w:ind w:left="1440" w:hanging="784"/>
        <w:spacing w:after="0"/>
        <w:tabs>
          <w:tab w:leader="none" w:pos="14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shall have the meaning set forth in the Award Notice.</w:t>
      </w:r>
    </w:p>
    <w:p>
      <w:pPr>
        <w:spacing w:after="0" w:line="260" w:lineRule="exact"/>
        <w:rPr>
          <w:sz w:val="20"/>
          <w:szCs w:val="20"/>
          <w:color w:val="auto"/>
        </w:rPr>
      </w:pPr>
    </w:p>
    <w:p>
      <w:pPr>
        <w:ind w:left="1500" w:hanging="844"/>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of Performance Units</w:t>
      </w:r>
      <w:r>
        <w:rPr>
          <w:rFonts w:ascii="Times New Roman" w:cs="Times New Roman" w:eastAsia="Times New Roman" w:hAnsi="Times New Roman"/>
          <w:sz w:val="22"/>
          <w:szCs w:val="22"/>
          <w:color w:val="auto"/>
        </w:rPr>
        <w:t>. The value of each Performance Unit is equal to a share of Common Stock.</w:t>
      </w:r>
    </w:p>
    <w:p>
      <w:pPr>
        <w:spacing w:after="0" w:line="260" w:lineRule="exact"/>
        <w:rPr>
          <w:sz w:val="20"/>
          <w:szCs w:val="20"/>
          <w:color w:val="auto"/>
        </w:rPr>
      </w:pPr>
    </w:p>
    <w:p>
      <w:pPr>
        <w:jc w:val="both"/>
        <w:ind w:firstLine="656"/>
        <w:spacing w:after="0" w:line="252" w:lineRule="auto"/>
        <w:tabs>
          <w:tab w:leader="none" w:pos="156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An amount of the Performance Units up to the maximum amount specified in the Resolutions shall be earned, depending on the extent to which the Company </w:t>
      </w:r>
      <w:r>
        <w:rPr>
          <w:rFonts w:ascii="Times New Roman" w:cs="Times New Roman" w:eastAsia="Times New Roman" w:hAnsi="Times New Roman"/>
          <w:sz w:val="22"/>
          <w:szCs w:val="22"/>
          <w:u w:val="single" w:color="auto"/>
          <w:color w:val="auto"/>
        </w:rPr>
        <w:t>achieves</w:t>
      </w:r>
      <w:r>
        <w:rPr>
          <w:rFonts w:ascii="Times New Roman" w:cs="Times New Roman" w:eastAsia="Times New Roman" w:hAnsi="Times New Roman"/>
          <w:sz w:val="22"/>
          <w:szCs w:val="22"/>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Form and Timing of Payment</w:t>
      </w:r>
      <w:r>
        <w:rPr>
          <w:rFonts w:ascii="Times New Roman" w:cs="Times New Roman" w:eastAsia="Times New Roman" w:hAnsi="Times New Roman"/>
          <w:sz w:val="22"/>
          <w:szCs w:val="22"/>
          <w:color w:val="auto"/>
        </w:rPr>
        <w:t>. Subject to Section XIII and except as set forth in the Program, for any Performance Units earned pursuant to Section III above, the specified payment date applicable to such Performance Units shall be the year immediately following the end of the Performance Period.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21" w:lineRule="exact"/>
        <w:rPr>
          <w:sz w:val="20"/>
          <w:szCs w:val="20"/>
          <w:color w:val="auto"/>
        </w:rPr>
      </w:pPr>
    </w:p>
    <w:p>
      <w:pPr>
        <w:jc w:val="both"/>
        <w:ind w:firstLine="656"/>
        <w:spacing w:after="0" w:line="246" w:lineRule="auto"/>
        <w:tabs>
          <w:tab w:leader="none" w:pos="147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Certificates; Tax Withholding</w:t>
      </w:r>
      <w:r>
        <w:rPr>
          <w:rFonts w:ascii="Times New Roman" w:cs="Times New Roman" w:eastAsia="Times New Roman" w:hAnsi="Times New Roman"/>
          <w:sz w:val="22"/>
          <w:szCs w:val="22"/>
          <w:color w:val="auto"/>
        </w:rPr>
        <w:t>. Regardless of any action the Company or your actual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Performance Units, including the grant of the Performance Units, the vesting of the Performance Units, the conversion of the Performance Units into shares or the receipt of an equivalent cash payment, the subsequent sale of any shares acquired at settlement and the receipt of any dividends; and (ii) do not commit to and are under no obligation to structure the terms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5" w:right="239" w:bottom="1440" w:gutter="0" w:footer="0" w:header="0"/>
        </w:sectPr>
      </w:pPr>
    </w:p>
    <w:bookmarkStart w:id="167" w:name="page168"/>
    <w:bookmarkEnd w:id="167"/>
    <w:p>
      <w:pPr>
        <w:jc w:val="both"/>
        <w:spacing w:after="0" w:line="252" w:lineRule="auto"/>
        <w:rPr>
          <w:sz w:val="20"/>
          <w:szCs w:val="20"/>
          <w:color w:val="auto"/>
        </w:rPr>
      </w:pPr>
      <w:r>
        <w:rPr>
          <w:rFonts w:ascii="Times New Roman" w:cs="Times New Roman" w:eastAsia="Times New Roman" w:hAnsi="Times New Roman"/>
          <w:sz w:val="22"/>
          <w:szCs w:val="22"/>
          <w:color w:val="auto"/>
        </w:rPr>
        <w:t>the grant or any aspect of the Performance Units to reduce or eliminate your liability for Tax Obligations or to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80" w:lineRule="exact"/>
        <w:rPr>
          <w:sz w:val="20"/>
          <w:szCs w:val="20"/>
          <w:color w:val="auto"/>
        </w:rPr>
      </w:pPr>
    </w:p>
    <w:p>
      <w:pPr>
        <w:ind w:left="1840" w:hanging="535"/>
        <w:spacing w:after="0"/>
        <w:tabs>
          <w:tab w:leader="none" w:pos="18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your wages or other cash compensation paid to you by the Company and/or your Employer;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196" w:lineRule="exact"/>
        <w:rPr>
          <w:sz w:val="20"/>
          <w:szCs w:val="20"/>
          <w:color w:val="auto"/>
        </w:rPr>
      </w:pPr>
    </w:p>
    <w:p>
      <w:pPr>
        <w:ind w:right="20" w:firstLine="1305"/>
        <w:spacing w:after="0" w:line="295" w:lineRule="auto"/>
        <w:tabs>
          <w:tab w:leader="none" w:pos="189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proceeds of the sale of Shares issued upon settlement of the Performance Units, either through a voluntary sale or through a mandatory sale arranged by the Company (on your behalf pursuant to this authorization); or</w:t>
      </w:r>
    </w:p>
    <w:p>
      <w:pPr>
        <w:spacing w:after="0" w:line="135" w:lineRule="exact"/>
        <w:rPr>
          <w:rFonts w:ascii="Times New Roman" w:cs="Times New Roman" w:eastAsia="Times New Roman" w:hAnsi="Times New Roman"/>
          <w:sz w:val="21"/>
          <w:szCs w:val="21"/>
          <w:color w:val="auto"/>
        </w:rPr>
      </w:pPr>
    </w:p>
    <w:p>
      <w:pPr>
        <w:ind w:firstLine="1305"/>
        <w:spacing w:after="0" w:line="271" w:lineRule="auto"/>
        <w:tabs>
          <w:tab w:leader="none" w:pos="180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in Shares to be issued upon settlement of the Performance Units provided that the Company and your Employer shall only withhold an amount of Shares with a fair market value equal to the Tax Obligations.</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earned Performance Units, notwithstanding that a number of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Finally, you shall pay to the Company or your Employer any amount of Tax Obligations that the Company or your Employer may be required to withhold or account for as a result of your participation in the Plan and the Program that cannot be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22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u w:val="single" w:color="auto"/>
          <w:color w:val="auto"/>
        </w:rPr>
        <w:t>Dividend Equivalents</w:t>
      </w:r>
    </w:p>
    <w:p>
      <w:pPr>
        <w:spacing w:after="0" w:line="260" w:lineRule="exact"/>
        <w:rPr>
          <w:sz w:val="20"/>
          <w:szCs w:val="20"/>
          <w:color w:val="auto"/>
        </w:rPr>
      </w:pPr>
    </w:p>
    <w:p>
      <w:pPr>
        <w:jc w:val="both"/>
        <w:ind w:firstLine="1305"/>
        <w:spacing w:after="0" w:line="247" w:lineRule="auto"/>
        <w:tabs>
          <w:tab w:leader="none" w:pos="183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of Dividend Equivalents</w:t>
      </w:r>
      <w:r>
        <w:rPr>
          <w:rFonts w:ascii="Times New Roman" w:cs="Times New Roman" w:eastAsia="Times New Roman" w:hAnsi="Times New Roman"/>
          <w:sz w:val="22"/>
          <w:szCs w:val="22"/>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as of the date the number of Performance Units payable to you pursuant to the terms this Agreement are determined and payable, you shall be credited with an amount equal to the amount or fair market value of such Dividend which would have been payable to you if you held a number of Shares equal to the number of Performance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168" w:name="page169"/>
    <w:bookmarkEnd w:id="168"/>
    <w:p>
      <w:pPr>
        <w:jc w:val="both"/>
        <w:spacing w:after="0" w:line="249" w:lineRule="auto"/>
        <w:rPr>
          <w:sz w:val="20"/>
          <w:szCs w:val="20"/>
          <w:color w:val="auto"/>
        </w:rPr>
      </w:pPr>
      <w:r>
        <w:rPr>
          <w:rFonts w:ascii="Times New Roman" w:cs="Times New Roman" w:eastAsia="Times New Roman" w:hAnsi="Times New Roman"/>
          <w:sz w:val="22"/>
          <w:szCs w:val="22"/>
          <w:color w:val="auto"/>
        </w:rPr>
        <w:t>Units payable to you as of each such record date for each such Dividend (not including on any Performance Units which were previously paid or forfeited) as if each such amount had been reinvested in Common Stock as of the date of the payment of such Dividend. Each such Dividend Equivalent shall be deemed to have been reinvested in the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221" w:lineRule="exact"/>
        <w:rPr>
          <w:sz w:val="20"/>
          <w:szCs w:val="20"/>
          <w:color w:val="auto"/>
        </w:rPr>
      </w:pPr>
    </w:p>
    <w:p>
      <w:pPr>
        <w:jc w:val="both"/>
        <w:ind w:firstLine="1305"/>
        <w:spacing w:after="0" w:line="250" w:lineRule="auto"/>
        <w:tabs>
          <w:tab w:leader="none" w:pos="181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Dividend Equivalents.</w:t>
      </w:r>
      <w:r>
        <w:rPr>
          <w:rFonts w:ascii="Times New Roman" w:cs="Times New Roman" w:eastAsia="Times New Roman" w:hAnsi="Times New Roman"/>
          <w:sz w:val="22"/>
          <w:szCs w:val="22"/>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nothing in this Section VII shall prevent transfer (i) by will or (ii) by applicable laws of descent and distribution.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VIII. </w:t>
      </w:r>
      <w:r>
        <w:rPr>
          <w:rFonts w:ascii="Times New Roman" w:cs="Times New Roman" w:eastAsia="Times New Roman" w:hAnsi="Times New Roman"/>
          <w:sz w:val="22"/>
          <w:szCs w:val="22"/>
          <w:u w:val="single" w:color="auto"/>
          <w:color w:val="auto"/>
        </w:rPr>
        <w:t>No Contract for Employment</w:t>
      </w:r>
      <w:r>
        <w:rPr>
          <w:rFonts w:ascii="Times New Roman" w:cs="Times New Roman" w:eastAsia="Times New Roman" w:hAnsi="Times New Roman"/>
          <w:sz w:val="22"/>
          <w:szCs w:val="22"/>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220"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22"/>
          <w:szCs w:val="22"/>
          <w:color w:val="auto"/>
        </w:rPr>
        <w:t>IX.</w:t>
      </w:r>
      <w:r>
        <w:rPr>
          <w:sz w:val="20"/>
          <w:szCs w:val="20"/>
          <w:color w:val="auto"/>
        </w:rPr>
        <w:tab/>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of Performance Units, you acknowledge that:</w:t>
      </w:r>
    </w:p>
    <w:p>
      <w:pPr>
        <w:spacing w:after="0" w:line="260" w:lineRule="exact"/>
        <w:rPr>
          <w:sz w:val="20"/>
          <w:szCs w:val="20"/>
          <w:color w:val="auto"/>
        </w:rPr>
      </w:pPr>
    </w:p>
    <w:p>
      <w:pPr>
        <w:ind w:firstLine="1305"/>
        <w:spacing w:after="0" w:line="271" w:lineRule="auto"/>
        <w:tabs>
          <w:tab w:leader="none" w:pos="179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9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4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Performance Units is voluntary and occasional and does not create any contractual or other right to receive future awards of Performance Units, or benefits in lieu of Performance Units, even if Performance Units have been awarded in the past;</w:t>
      </w:r>
    </w:p>
    <w:p>
      <w:pPr>
        <w:spacing w:after="0" w:line="213"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awards, if any, will be at the sole discretion of the Company;</w:t>
      </w:r>
    </w:p>
    <w:p>
      <w:pPr>
        <w:spacing w:after="0" w:line="260" w:lineRule="exact"/>
        <w:rPr>
          <w:rFonts w:ascii="Times New Roman" w:cs="Times New Roman" w:eastAsia="Times New Roman" w:hAnsi="Times New Roman"/>
          <w:sz w:val="22"/>
          <w:szCs w:val="22"/>
          <w:color w:val="auto"/>
        </w:rPr>
      </w:pPr>
    </w:p>
    <w:p>
      <w:pPr>
        <w:ind w:firstLine="1305"/>
        <w:spacing w:after="0" w:line="295" w:lineRule="auto"/>
        <w:tabs>
          <w:tab w:leader="none" w:pos="176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participation in the Plan and the Program shall not create a right to further employment with the Employer and shall not interfere with the ability of the Employer to terminate your employment or service relationship (if any) at any time;</w:t>
      </w:r>
    </w:p>
    <w:p>
      <w:pPr>
        <w:spacing w:after="0" w:line="176"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is voluntary;</w:t>
      </w:r>
    </w:p>
    <w:p>
      <w:pPr>
        <w:spacing w:after="0" w:line="260" w:lineRule="exact"/>
        <w:rPr>
          <w:rFonts w:ascii="Times New Roman" w:cs="Times New Roman" w:eastAsia="Times New Roman" w:hAnsi="Times New Roman"/>
          <w:sz w:val="22"/>
          <w:szCs w:val="22"/>
          <w:color w:val="auto"/>
        </w:rPr>
      </w:pPr>
    </w:p>
    <w:p>
      <w:pPr>
        <w:ind w:firstLine="1305"/>
        <w:spacing w:after="0" w:line="271" w:lineRule="auto"/>
        <w:tabs>
          <w:tab w:leader="none" w:pos="174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Performance Units and the Shares subject to the Performance Units are not intended to replace any pension rights or compensation;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9" w:right="239" w:bottom="1440" w:gutter="0" w:footer="0" w:header="0"/>
        </w:sectPr>
      </w:pPr>
    </w:p>
    <w:bookmarkStart w:id="169" w:name="page170"/>
    <w:bookmarkEnd w:id="169"/>
    <w:p>
      <w:pPr>
        <w:jc w:val="both"/>
        <w:ind w:firstLine="1305"/>
        <w:spacing w:after="0" w:line="252" w:lineRule="auto"/>
        <w:tabs>
          <w:tab w:leader="none" w:pos="187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be interpreted to form an employment contract or relationship with the Company or any Affiliate of the Company;</w:t>
      </w:r>
    </w:p>
    <w:p>
      <w:pPr>
        <w:spacing w:after="0" w:line="220" w:lineRule="exact"/>
        <w:rPr>
          <w:rFonts w:ascii="Times New Roman" w:cs="Times New Roman" w:eastAsia="Times New Roman" w:hAnsi="Times New Roman"/>
          <w:sz w:val="22"/>
          <w:szCs w:val="22"/>
          <w:color w:val="auto"/>
        </w:rPr>
      </w:pPr>
    </w:p>
    <w:p>
      <w:pPr>
        <w:ind w:right="20" w:firstLine="1305"/>
        <w:spacing w:after="0" w:line="271" w:lineRule="auto"/>
        <w:tabs>
          <w:tab w:leader="none" w:pos="184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that may be earned upon the end of the Performance Period is unknown and cannot be predicted with certainty;</w:t>
      </w:r>
    </w:p>
    <w:p>
      <w:pPr>
        <w:spacing w:after="0" w:line="198"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4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Performance Units hereunder, no claim or entitlement to compensation or damages shall arise from forfeiture of the Performance Units resulting from termination of your employment by the Company or an Affiliate of the Company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1"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89"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your employment (whether or not in breach of local labor laws), your right to receive Performance Units and receive shares under the Plan and the Program, if any, will terminate effective as of the date that you are no longer actively employed and will not be extended by any notice period mandated under local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“garden leave” or similar period pursuant to local law);</w:t>
      </w:r>
    </w:p>
    <w:p>
      <w:pPr>
        <w:spacing w:after="0" w:line="220" w:lineRule="exact"/>
        <w:rPr>
          <w:rFonts w:ascii="Times New Roman" w:cs="Times New Roman" w:eastAsia="Times New Roman" w:hAnsi="Times New Roman"/>
          <w:sz w:val="22"/>
          <w:szCs w:val="22"/>
          <w:color w:val="auto"/>
        </w:rPr>
      </w:pPr>
    </w:p>
    <w:p>
      <w:pPr>
        <w:jc w:val="both"/>
        <w:ind w:firstLine="1305"/>
        <w:spacing w:after="0" w:line="252" w:lineRule="auto"/>
        <w:tabs>
          <w:tab w:leader="none" w:pos="179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220"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you are providing services outside the United States:</w:t>
      </w:r>
    </w:p>
    <w:p>
      <w:pPr>
        <w:spacing w:after="0" w:line="260" w:lineRule="exact"/>
        <w:rPr>
          <w:rFonts w:ascii="Times New Roman" w:cs="Times New Roman" w:eastAsia="Times New Roman" w:hAnsi="Times New Roman"/>
          <w:sz w:val="22"/>
          <w:szCs w:val="22"/>
          <w:color w:val="auto"/>
        </w:rPr>
      </w:pPr>
    </w:p>
    <w:p>
      <w:pPr>
        <w:jc w:val="both"/>
        <w:ind w:firstLine="1953"/>
        <w:spacing w:after="0" w:line="252" w:lineRule="auto"/>
        <w:tabs>
          <w:tab w:leader="none" w:pos="2489"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employment law purposes outside the United States, the Performance Units and underlying Shares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20" w:lineRule="exact"/>
        <w:rPr>
          <w:rFonts w:ascii="Times New Roman" w:cs="Times New Roman" w:eastAsia="Times New Roman" w:hAnsi="Times New Roman"/>
          <w:sz w:val="22"/>
          <w:szCs w:val="22"/>
          <w:color w:val="auto"/>
        </w:rPr>
      </w:pPr>
    </w:p>
    <w:p>
      <w:pPr>
        <w:jc w:val="both"/>
        <w:ind w:firstLine="1953"/>
        <w:spacing w:after="0" w:line="252" w:lineRule="auto"/>
        <w:tabs>
          <w:tab w:leader="none" w:pos="251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220" w:lineRule="exact"/>
        <w:rPr>
          <w:rFonts w:ascii="Times New Roman" w:cs="Times New Roman" w:eastAsia="Times New Roman" w:hAnsi="Times New Roman"/>
          <w:sz w:val="22"/>
          <w:szCs w:val="22"/>
          <w:color w:val="auto"/>
        </w:rPr>
      </w:pPr>
    </w:p>
    <w:p>
      <w:pPr>
        <w:jc w:val="both"/>
        <w:ind w:firstLine="656"/>
        <w:spacing w:after="0" w:line="252" w:lineRule="auto"/>
        <w:tabs>
          <w:tab w:leader="none" w:pos="150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your participation in the Plan and the Program, or your acquisition or sale of the underlying Shares. You are hereby advised to consult with your personal tax, legal and financial advisors regarding your participation in the Plan and the Program before taking any action related thereto.</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XI.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in this Agreement, the Plan or the Program shall be given in writing or electronically and shall be deemed effectively given upon receipt or, in the case of notices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9" w:right="239" w:bottom="1440" w:gutter="0" w:footer="0" w:header="0"/>
        </w:sectPr>
      </w:pPr>
    </w:p>
    <w:bookmarkStart w:id="170" w:name="page171"/>
    <w:bookmarkEnd w:id="170"/>
    <w:p>
      <w:pPr>
        <w:jc w:val="both"/>
        <w:spacing w:after="0" w:line="250" w:lineRule="auto"/>
        <w:rPr>
          <w:sz w:val="20"/>
          <w:szCs w:val="20"/>
          <w:color w:val="auto"/>
        </w:rPr>
      </w:pPr>
      <w:r>
        <w:rPr>
          <w:rFonts w:ascii="Times New Roman" w:cs="Times New Roman" w:eastAsia="Times New Roman" w:hAnsi="Times New Roman"/>
          <w:sz w:val="22"/>
          <w:szCs w:val="22"/>
          <w:color w:val="auto"/>
        </w:rPr>
        <w:t>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22" w:lineRule="exact"/>
        <w:rPr>
          <w:sz w:val="20"/>
          <w:szCs w:val="20"/>
          <w:color w:val="auto"/>
        </w:rPr>
      </w:pPr>
    </w:p>
    <w:p>
      <w:pPr>
        <w:jc w:val="both"/>
        <w:ind w:left="80" w:firstLine="648"/>
        <w:spacing w:after="0" w:line="246" w:lineRule="auto"/>
        <w:rPr>
          <w:sz w:val="20"/>
          <w:szCs w:val="20"/>
          <w:color w:val="auto"/>
        </w:rPr>
      </w:pPr>
      <w:r>
        <w:rPr>
          <w:rFonts w:ascii="Times New Roman" w:cs="Times New Roman" w:eastAsia="Times New Roman" w:hAnsi="Times New Roman"/>
          <w:sz w:val="22"/>
          <w:szCs w:val="22"/>
          <w:color w:val="auto"/>
        </w:rPr>
        <w:t xml:space="preserve">XII. </w:t>
      </w:r>
      <w:r>
        <w:rPr>
          <w:rFonts w:ascii="Times New Roman" w:cs="Times New Roman" w:eastAsia="Times New Roman" w:hAnsi="Times New Roman"/>
          <w:sz w:val="22"/>
          <w:szCs w:val="22"/>
          <w:u w:val="single" w:color="auto"/>
          <w:color w:val="auto"/>
        </w:rPr>
        <w:t>Resolutions, Plan and Program</w:t>
      </w:r>
      <w:r>
        <w:rPr>
          <w:rFonts w:ascii="Times New Roman" w:cs="Times New Roman" w:eastAsia="Times New Roman" w:hAnsi="Times New Roman"/>
          <w:sz w:val="22"/>
          <w:szCs w:val="22"/>
          <w:color w:val="auto"/>
        </w:rPr>
        <w:t>. This Agreement is subject to all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2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XIII. </w:t>
      </w:r>
      <w:r>
        <w:rPr>
          <w:rFonts w:ascii="Times New Roman" w:cs="Times New Roman" w:eastAsia="Times New Roman" w:hAnsi="Times New Roman"/>
          <w:sz w:val="22"/>
          <w:szCs w:val="22"/>
          <w:u w:val="single" w:color="auto"/>
          <w:color w:val="auto"/>
        </w:rPr>
        <w:t>No Compensation Deferral</w:t>
      </w:r>
      <w:r>
        <w:rPr>
          <w:rFonts w:ascii="Times New Roman" w:cs="Times New Roman" w:eastAsia="Times New Roman" w:hAnsi="Times New Roman"/>
          <w:sz w:val="22"/>
          <w:szCs w:val="22"/>
          <w:color w:val="auto"/>
        </w:rPr>
        <w:t>. The Performance Units are not intended to constitute “nonqualified deferred compensation” within the meaning of Section 409A of the U.S. Internal Revenue Code of 1986, as amended from time to time (together with the regulations and official guidance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However, if at any time the Committee determines that the Performance Units may be subject to Section 409A of the Code, the Committee shall have the right, in its sole discretion, and without your prior consent to amend the Program as it may determine is necessary or desirable either for the Performance Units to be exempt from the application of Section 409A of the Code or to satisfy the requirements of Section 409A of the Code, including by adding conditions with respect to the vesting and/or the payment of the Performance Units, provided that no such amendment may change the Program’s “performance goals,” within the meaning of Section 162(m) of the Code, with respect to any person who is a “covered employee,” within the meaning of Section 162(m) of the Code. Any such amendment to the Program may in the Committee’s sole discretion apply retroactively to this award of Performance Units.</w:t>
      </w:r>
    </w:p>
    <w:p>
      <w:pPr>
        <w:spacing w:after="0" w:line="23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XIV.</w:t>
      </w:r>
      <w:r>
        <w:rPr>
          <w:sz w:val="20"/>
          <w:szCs w:val="20"/>
          <w:color w:val="auto"/>
        </w:rPr>
        <w:tab/>
      </w:r>
      <w:r>
        <w:rPr>
          <w:rFonts w:ascii="Times New Roman" w:cs="Times New Roman" w:eastAsia="Times New Roman" w:hAnsi="Times New Roman"/>
          <w:sz w:val="21"/>
          <w:szCs w:val="21"/>
          <w:u w:val="single" w:color="auto"/>
          <w:color w:val="auto"/>
        </w:rPr>
        <w:t>Provisions Applicable to Participants in Foreign Jurisdictions</w:t>
      </w:r>
      <w:r>
        <w:rPr>
          <w:rFonts w:ascii="Times New Roman" w:cs="Times New Roman" w:eastAsia="Times New Roman" w:hAnsi="Times New Roman"/>
          <w:sz w:val="21"/>
          <w:szCs w:val="21"/>
          <w:color w:val="auto"/>
        </w:rPr>
        <w:t>. Notwithstanding any provision of this Agreement</w:t>
      </w:r>
    </w:p>
    <w:p>
      <w:pPr>
        <w:spacing w:after="0" w:line="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or the Program to the contrary, if you are employed by the Company or an Affiliate in any of the countries identified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(which constitutes a part of this Agreement), are subject to the laws of any foreign jurisdiction, or relocate to one of the countries included in the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 your award of Performance Units shall be subject to any special terms and conditions for such country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and to the following additional terms and conditions:</w:t>
      </w:r>
    </w:p>
    <w:p>
      <w:pPr>
        <w:spacing w:after="0" w:line="226" w:lineRule="exact"/>
        <w:rPr>
          <w:sz w:val="20"/>
          <w:szCs w:val="20"/>
          <w:color w:val="auto"/>
        </w:rPr>
      </w:pPr>
    </w:p>
    <w:p>
      <w:pPr>
        <w:ind w:firstLine="1305"/>
        <w:spacing w:after="0" w:line="271" w:lineRule="auto"/>
        <w:tabs>
          <w:tab w:leader="none" w:pos="192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and conditions of this Agreement,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are deemed modified to the extent necessary or advisable to comply with applicable foreign laws or facilitate the administration of the Plan and the Program;</w:t>
      </w:r>
    </w:p>
    <w:p>
      <w:pPr>
        <w:spacing w:after="0" w:line="19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73" w:lineRule="exact"/>
        <w:rPr>
          <w:rFonts w:ascii="Times New Roman" w:cs="Times New Roman" w:eastAsia="Times New Roman" w:hAnsi="Times New Roman"/>
          <w:sz w:val="22"/>
          <w:szCs w:val="22"/>
          <w:color w:val="auto"/>
        </w:rPr>
      </w:pPr>
    </w:p>
    <w:p>
      <w:pPr>
        <w:ind w:firstLine="1305"/>
        <w:spacing w:after="0" w:line="271" w:lineRule="auto"/>
        <w:tabs>
          <w:tab w:leader="none" w:pos="17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applicable foreign laws, the payment of any earned Performance Units shall be made in cash or Common Stock, at the Company’s election;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171" w:name="page172"/>
    <w:bookmarkEnd w:id="171"/>
    <w:p>
      <w:pPr>
        <w:ind w:right="20" w:firstLine="1305"/>
        <w:spacing w:after="0" w:line="295" w:lineRule="auto"/>
        <w:tabs>
          <w:tab w:leader="none" w:pos="177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XV. </w:t>
      </w:r>
      <w:r>
        <w:rPr>
          <w:rFonts w:ascii="Times New Roman" w:cs="Times New Roman" w:eastAsia="Times New Roman" w:hAnsi="Times New Roman"/>
          <w:sz w:val="22"/>
          <w:szCs w:val="22"/>
          <w:b w:val="1"/>
          <w:bCs w:val="1"/>
          <w:i w:val="1"/>
          <w:iCs w:val="1"/>
          <w:u w:val="single" w:color="auto"/>
          <w:color w:val="auto"/>
        </w:rPr>
        <w:t>Data Privacy and Notice of Consent</w:t>
      </w:r>
      <w:r>
        <w:rPr>
          <w:rFonts w:ascii="Times New Roman" w:cs="Times New Roman" w:eastAsia="Times New Roman" w:hAnsi="Times New Roman"/>
          <w:sz w:val="22"/>
          <w:szCs w:val="22"/>
          <w:b w:val="1"/>
          <w:bCs w:val="1"/>
          <w:i w:val="1"/>
          <w:iCs w:val="1"/>
          <w:color w:val="auto"/>
        </w:rPr>
        <w:t>. You hereby explicitly and unambiguously consent to the collection, 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transfer, in electronic or other form, of your personal data as described in this Agreement by and among, as applicable, the Employer, the Company, and any Affiliates of the Company for the exclusive purpose of implementing, administering and managing your participation in the Plan and the Program.</w:t>
      </w:r>
    </w:p>
    <w:p>
      <w:pPr>
        <w:spacing w:after="0" w:line="17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Company and the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Plan and the Program (“</w:t>
      </w:r>
      <w:r>
        <w:rPr>
          <w:rFonts w:ascii="Times New Roman" w:cs="Times New Roman" w:eastAsia="Times New Roman" w:hAnsi="Times New Roman"/>
          <w:sz w:val="22"/>
          <w:szCs w:val="22"/>
          <w:b w:val="1"/>
          <w:bCs w:val="1"/>
          <w:i w:val="1"/>
          <w:iCs w:val="1"/>
          <w:u w:val="single" w:color="auto"/>
          <w:color w:val="auto"/>
        </w:rPr>
        <w:t>Data</w:t>
      </w:r>
      <w:r>
        <w:rPr>
          <w:rFonts w:ascii="Times New Roman" w:cs="Times New Roman" w:eastAsia="Times New Roman" w:hAnsi="Times New Roman"/>
          <w:sz w:val="22"/>
          <w:szCs w:val="22"/>
          <w:b w:val="1"/>
          <w:bCs w:val="1"/>
          <w:i w:val="1"/>
          <w:iCs w:val="1"/>
          <w:color w:val="auto"/>
        </w:rPr>
        <w:t>”).</w:t>
      </w:r>
    </w:p>
    <w:p>
      <w:pPr>
        <w:spacing w:after="0" w:line="175"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may be transferred to Merrill Lynch Bank &amp; Trust Co., FSB (or any successor thereto), any third parties assisting in the implementation, administration and management of the Plan and the Program,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Employer, the Company, Affiliates of the Company, Merrill Lynch Bank &amp; Trust Co., FSB (or any successor thereto), and any other possible recipients which may assist the Company (presently or in the future) with implementing, administering and managing your participation in the Plan and the Program to receive, possess, use, retain and transfer the Data, in electronic or other form, for the purposes of implementing, administering and managing your participation in the Plan and the Program, including any requisite transfer of such Data as may be required to a broker, escrow agent or other third party with whom the shares received upon vesting of the Performance Units may be deposited. You understand that Data will be held only as long as is necessary to implement, administer and manage your participation in the Plan and the Program.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9" w:right="239" w:bottom="1440" w:gutter="0" w:footer="0" w:header="0"/>
        </w:sectPr>
      </w:pPr>
    </w:p>
    <w:bookmarkStart w:id="172" w:name="page173"/>
    <w:bookmarkEnd w:id="172"/>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Performance Units or other equity awards or administer or maintain such awards. Therefore, you understand that refusing or withdrawing your consent may affect your ability to participate in the Plan and the Program. For more information on the consequences of your refusal to consent or withdrawal of consent, you understand that you may contact your local human resources representative.</w:t>
      </w:r>
    </w:p>
    <w:p>
      <w:pPr>
        <w:spacing w:after="0" w:line="21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XVI.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XVII.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XVIII.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XIX. </w:t>
      </w: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and/or the Program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220" w:lineRule="exact"/>
        <w:rPr>
          <w:sz w:val="20"/>
          <w:szCs w:val="20"/>
          <w:color w:val="auto"/>
        </w:rPr>
      </w:pPr>
    </w:p>
    <w:p>
      <w:pPr>
        <w:jc w:val="both"/>
        <w:ind w:firstLine="656"/>
        <w:spacing w:after="0" w:line="252" w:lineRule="auto"/>
        <w:tabs>
          <w:tab w:leader="none" w:pos="16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XXI.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9" w:right="239" w:bottom="1440" w:gutter="0" w:footer="0" w:header="0"/>
        </w:sectPr>
      </w:pPr>
    </w:p>
    <w:bookmarkStart w:id="173" w:name="page174"/>
    <w:bookmarkEnd w:id="173"/>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AMGEN INC.</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By:___________________________</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___ day of ______________, 20__.</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w:t>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19"/>
          </w:cols>
          <w:pgMar w:left="240" w:top="882" w:right="1440" w:bottom="1440" w:gutter="0" w:footer="0" w:header="0"/>
        </w:sectPr>
      </w:pPr>
    </w:p>
    <w:bookmarkStart w:id="174" w:name="page175"/>
    <w:bookmarkEnd w:id="174"/>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ADDITIONAL TERMS AND CONDITIONS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AND/OR RESTATED FROM TIME TO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PERFORMANCE UNITS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COUNTRY)</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Appendix A shall have the meanings set forth in the Plan and/or the Agreement to which this Appendix is attached.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relocate to one of the countries listed below and the Company shall, in its discretion, determine to what extent the terms and conditions contained herein shall apply to you.</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ALL NON-U.S. JURISDICTIONS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Insider Trading Restrictions/Market Abuse Laws. </w:t>
      </w:r>
      <w:r>
        <w:rPr>
          <w:rFonts w:ascii="Times New Roman" w:cs="Times New Roman" w:eastAsia="Times New Roman" w:hAnsi="Times New Roman"/>
          <w:sz w:val="21"/>
          <w:szCs w:val="21"/>
          <w:color w:val="auto"/>
        </w:rPr>
        <w:t>You acknowledge that, depending on your country, you may be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insider trading restrictions and/or market abuse laws, which may affect your ability to acquire or sell Shares or rights to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Performance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w:t>
      </w:r>
    </w:p>
    <w:p>
      <w:pPr>
        <w:sectPr>
          <w:pgSz w:w="11900" w:h="16838" w:orient="portrait"/>
          <w:cols w:equalWidth="0" w:num="1">
            <w:col w:w="11420"/>
          </w:cols>
          <w:pgMar w:left="240" w:top="365"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AUD10,000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If an Australian bank is assisting with the transaction, the bank will file the report on your behalf.</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If you acquire Shares under the Plan and offer the Shares for sale to a person or entity resident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Australia, the offer may be subject to disclosure requirements under Australian law. You should consult with your own legal advisor before making any such offer in Australia.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hold Shares acquired under the Plan outside of Austria, you must submit a report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Times New Roman" w:cs="Times New Roman" w:eastAsia="Times New Roman" w:hAnsi="Times New Roman"/>
          <w:sz w:val="22"/>
          <w:szCs w:val="22"/>
          <w:i w:val="1"/>
          <w:iCs w:val="1"/>
          <w:color w:val="auto"/>
        </w:rPr>
        <w:t>Meldungen SI-Forderungen und/oder SI-Verpflichtungen</w:t>
      </w:r>
      <w:r>
        <w:rPr>
          <w:rFonts w:ascii="Times New Roman" w:cs="Times New Roman" w:eastAsia="Times New Roman" w:hAnsi="Times New Roman"/>
          <w:sz w:val="22"/>
          <w:szCs w:val="22"/>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Foreign Asset/Account Reporting Information. </w:t>
      </w:r>
      <w:r>
        <w:rPr>
          <w:rFonts w:ascii="Times New Roman" w:cs="Times New Roman" w:eastAsia="Times New Roman" w:hAnsi="Times New Roman"/>
          <w:sz w:val="22"/>
          <w:szCs w:val="22"/>
          <w:color w:val="auto"/>
        </w:rPr>
        <w:t>You are required to report any taxable income attributable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BRAZIL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Compliance with Law</w:t>
      </w:r>
      <w:r>
        <w:rPr>
          <w:rFonts w:ascii="Times New Roman" w:cs="Times New Roman" w:eastAsia="Times New Roman" w:hAnsi="Times New Roman"/>
          <w:sz w:val="22"/>
          <w:szCs w:val="22"/>
          <w:color w:val="auto"/>
        </w:rPr>
        <w:t>. By accepting the Performance Units, you acknowledge that you agree to comply with applicable Brazilian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and pay any and all applicable taxes associated with the vesting of the Performance Units, the sale of Shares acquired under the Plan, the payment of dividends on such shares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w:t>
      </w:r>
    </w:p>
    <w:p>
      <w:pPr>
        <w:sectPr>
          <w:pgSz w:w="11900" w:h="16838" w:orient="portrait"/>
          <w:cols w:equalWidth="0" w:num="1">
            <w:col w:w="11420"/>
          </w:cols>
          <w:pgMar w:left="240" w:top="581"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the receipt of any Dividend Equivalent paid in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Acknowledgement of Nature of Plan and Performance Units. </w:t>
      </w:r>
      <w:r>
        <w:rPr>
          <w:rFonts w:ascii="Times New Roman" w:cs="Times New Roman" w:eastAsia="Times New Roman" w:hAnsi="Times New Roman"/>
          <w:sz w:val="22"/>
          <w:szCs w:val="22"/>
          <w:color w:val="auto"/>
        </w:rPr>
        <w:t>This provision supplements Section IX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are resident or domiciled in Brazil, you will be required to submit annually a declaration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BULGARIA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Termination of Service. </w:t>
      </w:r>
      <w:r>
        <w:rPr>
          <w:rFonts w:ascii="Times New Roman" w:cs="Times New Roman" w:eastAsia="Times New Roman" w:hAnsi="Times New Roman"/>
          <w:sz w:val="22"/>
          <w:szCs w:val="22"/>
          <w:color w:val="auto"/>
        </w:rPr>
        <w:t>This provision supplements Section IX(j) of the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event of involuntary termination of your employment (whether or not in breach of local labor laws), your right to receive 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 and vest in such Award under the Plan and the Program, if any, will terminate effective as of the date that is the earlier of:</w:t>
      </w:r>
    </w:p>
    <w:p>
      <w:pPr>
        <w:spacing w:after="0" w:line="4" w:lineRule="exact"/>
        <w:rPr>
          <w:sz w:val="20"/>
          <w:szCs w:val="20"/>
          <w:color w:val="auto"/>
        </w:rPr>
      </w:pPr>
    </w:p>
    <w:p>
      <w:pPr>
        <w:jc w:val="both"/>
        <w:ind w:firstLine="8"/>
        <w:spacing w:after="0" w:line="244" w:lineRule="auto"/>
        <w:tabs>
          <w:tab w:leader="none" w:pos="33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an Award after termination of employment will be measured by the date of termination of your active employment and will not be extended by any notice period mandated under local law;</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 Performance Units Payable Only in Shares. </w:t>
      </w:r>
      <w:r>
        <w:rPr>
          <w:rFonts w:ascii="Times New Roman" w:cs="Times New Roman" w:eastAsia="Times New Roman" w:hAnsi="Times New Roman"/>
          <w:sz w:val="22"/>
          <w:szCs w:val="22"/>
          <w:color w:val="auto"/>
        </w:rPr>
        <w:t>Notwithstanding any discretion in the Plan or the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anything to the contrary in the Agreement, the Award does not provide any right for you, as a resident of Canada, to receive a cash payment and shall be paid in Shares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following provisions will apply to you if you are a resident of Quebec: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Agreement, as well as all</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- 3</w:t>
      </w:r>
    </w:p>
    <w:p>
      <w:pPr>
        <w:sectPr>
          <w:pgSz w:w="11900" w:h="16838" w:orient="portrait"/>
          <w:cols w:equalWidth="0" w:num="1">
            <w:col w:w="11420"/>
          </w:cols>
          <w:pgMar w:left="240" w:top="369" w:right="239" w:bottom="1440" w:gutter="0" w:footer="0" w:header="0"/>
        </w:sectPr>
      </w:pPr>
    </w:p>
    <w:bookmarkStart w:id="177" w:name="page178"/>
    <w:bookmarkEnd w:id="177"/>
    <w:p>
      <w:pPr>
        <w:jc w:val="both"/>
        <w:spacing w:after="0" w:line="271" w:lineRule="auto"/>
        <w:rPr>
          <w:sz w:val="20"/>
          <w:szCs w:val="20"/>
          <w:color w:val="auto"/>
        </w:rPr>
      </w:pPr>
      <w:r>
        <w:rPr>
          <w:rFonts w:ascii="Times New Roman" w:cs="Times New Roman" w:eastAsia="Times New Roman" w:hAnsi="Times New Roman"/>
          <w:sz w:val="22"/>
          <w:szCs w:val="22"/>
          <w:color w:val="auto"/>
        </w:rPr>
        <w:t>documents, notices, and legal proceedings entered into, given or instituted pursuant hereto or relating directly or indirectly hereto, be drawn up in English.</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ainsi que de tous documents exécutés, avis donnés et procédures judiciaries intentées, directement ou indirectement, relativement à ou suite à la présente convention.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and Consent. </w:t>
      </w:r>
      <w:r>
        <w:rPr>
          <w:rFonts w:ascii="Times New Roman" w:cs="Times New Roman" w:eastAsia="Times New Roman" w:hAnsi="Times New Roman"/>
          <w:sz w:val="22"/>
          <w:szCs w:val="22"/>
          <w:color w:val="auto"/>
        </w:rPr>
        <w:t>This provision supplements Section XV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hereby authorize the Company and the Company’s representative to discuss with and obtain all relevant information from all personnel (professional or not) involved in the administration and operation of the Plan and the Program. You further authorize the Company and your Employer to disclose and discuss your participation in the Plan with their advisors. You also authorize the Company and your Employer to record such information and keep it in your employee file.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You are permitted to sell Shares acquired through the Plan through the designated broker appointed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if any, provided that the resale of such shares takes place outside of Canada through the facilities of a stock exchange on which the shares are listed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NASDAQ Global Select Market).</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report any foreign property (including Shares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on form T1135 (Foreign Income Verification Statement) if the total value of the foreign property exceeds C$100,000 at any time in the year. It is not certain if Performance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Pursuant to Ruling No. 99 of 2001 issued by the Chilean Superintendence of Securities (“</w:t>
      </w:r>
      <w:r>
        <w:rPr>
          <w:rFonts w:ascii="Times New Roman" w:cs="Times New Roman" w:eastAsia="Times New Roman" w:hAnsi="Times New Roman"/>
          <w:sz w:val="22"/>
          <w:szCs w:val="22"/>
          <w:u w:val="single" w:color="auto"/>
          <w:color w:val="auto"/>
        </w:rPr>
        <w:t>CSS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the Performance Units nor any Shares acquired under the Plan will be registered under the Registry of Securities held by the CSS nor are they under the control or supervision of the CSS.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not required to repatriate funds obtained from the sale of shares or the receipt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and Registration Information. </w:t>
      </w:r>
      <w:r>
        <w:rPr>
          <w:rFonts w:ascii="Times New Roman" w:cs="Times New Roman" w:eastAsia="Times New Roman" w:hAnsi="Times New Roman"/>
          <w:sz w:val="22"/>
          <w:szCs w:val="22"/>
          <w:color w:val="auto"/>
        </w:rPr>
        <w:t>You must file Tax Form 1851 in relation to any Shares acquired under the Plan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held abroad and to any taxes paid abroad (if you will be seeking a credit against Chilean income tax owed) with the Chilean Internal Revenue Service (the “</w:t>
      </w:r>
      <w:r>
        <w:rPr>
          <w:rFonts w:ascii="Times New Roman" w:cs="Times New Roman" w:eastAsia="Times New Roman" w:hAnsi="Times New Roman"/>
          <w:sz w:val="22"/>
          <w:szCs w:val="22"/>
          <w:u w:val="single" w:color="auto"/>
          <w:color w:val="auto"/>
        </w:rPr>
        <w:t>CIRS</w:t>
      </w:r>
      <w:r>
        <w:rPr>
          <w:rFonts w:ascii="Times New Roman" w:cs="Times New Roman" w:eastAsia="Times New Roman" w:hAnsi="Times New Roman"/>
          <w:sz w:val="22"/>
          <w:szCs w:val="22"/>
          <w:color w:val="auto"/>
        </w:rPr>
        <w:t>”), The form must be submitted through the CIRS web page at www.sii.cl before March 15 of each year.</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Investments abroad must also be registered with the CIRS for you to be entitled to a foreign tax credit for any tax withheld on dividends abroad, if applicable, and such registration also provides evidence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- 4</w:t>
      </w:r>
    </w:p>
    <w:p>
      <w:pPr>
        <w:sectPr>
          <w:pgSz w:w="11900" w:h="16838" w:orient="portrait"/>
          <w:cols w:equalWidth="0" w:num="1">
            <w:col w:w="11420"/>
          </w:cols>
          <w:pgMar w:left="240" w:top="369" w:right="239" w:bottom="1440" w:gutter="0" w:footer="0" w:header="0"/>
        </w:sectPr>
      </w:pPr>
    </w:p>
    <w:bookmarkStart w:id="178" w:name="page179"/>
    <w:bookmarkEnd w:id="178"/>
    <w:p>
      <w:pPr>
        <w:jc w:val="both"/>
        <w:spacing w:after="0" w:line="271" w:lineRule="auto"/>
        <w:rPr>
          <w:sz w:val="20"/>
          <w:szCs w:val="20"/>
          <w:color w:val="auto"/>
        </w:rPr>
      </w:pPr>
      <w:r>
        <w:rPr>
          <w:rFonts w:ascii="Times New Roman" w:cs="Times New Roman" w:eastAsia="Times New Roman" w:hAnsi="Times New Roman"/>
          <w:sz w:val="22"/>
          <w:szCs w:val="22"/>
          <w:color w:val="auto"/>
        </w:rPr>
        <w:t>acquisition price of the shares (which will be zero) which you will need when the shares are sold. You are advised to consult with your personal legal advisor regarding how to register with the CIRS.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The following terms apply only to individuals who are subject to exchange control restrictions in the People’s Republic of China (the “PRC”), as determined by the Company in its sole discretion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Vesting of the Performance Units. </w:t>
      </w:r>
      <w:r>
        <w:rPr>
          <w:rFonts w:ascii="Times New Roman" w:cs="Times New Roman" w:eastAsia="Times New Roman" w:hAnsi="Times New Roman"/>
          <w:sz w:val="22"/>
          <w:szCs w:val="22"/>
          <w:color w:val="auto"/>
        </w:rPr>
        <w:t>Notwithstanding anything to the contrary in the Form of Award Notice or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Performance Units shall not vest or be considered earned until all necessary exchange control and other approvals from the PRC State Administration of Foreign Exchange or its local counterpart (“</w:t>
      </w:r>
      <w:r>
        <w:rPr>
          <w:rFonts w:ascii="Times New Roman" w:cs="Times New Roman" w:eastAsia="Times New Roman" w:hAnsi="Times New Roman"/>
          <w:sz w:val="22"/>
          <w:szCs w:val="22"/>
          <w:u w:val="single" w:color="auto"/>
          <w:color w:val="auto"/>
        </w:rPr>
        <w:t>SAFE</w:t>
      </w:r>
      <w:r>
        <w:rPr>
          <w:rFonts w:ascii="Times New Roman" w:cs="Times New Roman" w:eastAsia="Times New Roman" w:hAnsi="Times New Roman"/>
          <w:sz w:val="22"/>
          <w:szCs w:val="22"/>
          <w:color w:val="auto"/>
        </w:rPr>
        <w:t>”) have been received for Performance Units granted under the Plan. Once SAFE approval has been received, and provided you are then employed by the Company or an Affiliate, any portion of the Performance Units that was deemed earned prior to obtaining SAFE approval will then vest and Shares will be issuable to you in settlement of such Performance Units. If you terminate employment with the Company and its Affiliates prior to the receipt of SAFE approval, any Performance Units that are unvested pursuant to the preceding provision will be forfeited.</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Further, notwithstanding anything to the contrary in Article 7.1 of the Program, if your employment with the Company or an Affiliate terminates at any time during the Performance Period, you shall forfeit all Performance Units.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the PRC,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- 5</w:t>
      </w:r>
    </w:p>
    <w:p>
      <w:pPr>
        <w:sectPr>
          <w:pgSz w:w="11900" w:h="16838" w:orient="portrait"/>
          <w:cols w:equalWidth="0" w:num="1">
            <w:col w:w="11420"/>
          </w:cols>
          <w:pgMar w:left="240" w:top="369" w:right="239" w:bottom="1440" w:gutter="0" w:footer="0" w:header="0"/>
        </w:sectPr>
      </w:pPr>
    </w:p>
    <w:bookmarkStart w:id="179" w:name="page180"/>
    <w:bookmarkEnd w:id="179"/>
    <w:p>
      <w:pPr>
        <w:jc w:val="both"/>
        <w:spacing w:after="0" w:line="271" w:lineRule="auto"/>
        <w:rPr>
          <w:sz w:val="20"/>
          <w:szCs w:val="20"/>
          <w:color w:val="auto"/>
        </w:rPr>
      </w:pPr>
      <w:r>
        <w:rPr>
          <w:rFonts w:ascii="Times New Roman" w:cs="Times New Roman" w:eastAsia="Times New Roman" w:hAnsi="Times New Roman"/>
          <w:sz w:val="22"/>
          <w:szCs w:val="22"/>
          <w:color w:val="auto"/>
        </w:rPr>
        <w:t>for the amount of any loss that you may incur and that the Company assumes no liability for any fluctuations in the share price and/or any applicable exchange rate.</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Performance Units are not immediately sold,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Effective January 1, 2014, PRC residents are required to report to SAFE details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foreign financial assets and liabilities, as well as details of any economic transactions conducted with non-PRC residents, either directly or through financial institutions. Shares or Performance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COLOMBIA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Investment in assets located abroad (such as Shares acquired under the Plan) does not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approval from the Central Bank (Banco de la República).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CROATIA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Croatian residents must report any foreign investments (including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the Croatian National Bank for statistical purposes and obtain prior approval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- 6</w:t>
      </w:r>
    </w:p>
    <w:p>
      <w:pPr>
        <w:sectPr>
          <w:pgSz w:w="11900" w:h="16838" w:orient="portrait"/>
          <w:cols w:equalWidth="0" w:num="1">
            <w:col w:w="11420"/>
          </w:cols>
          <w:pgMar w:left="240" w:top="369" w:right="239" w:bottom="1440" w:gutter="0" w:footer="0" w:header="0"/>
        </w:sectPr>
      </w:pPr>
    </w:p>
    <w:bookmarkStart w:id="180" w:name="page181"/>
    <w:bookmarkEnd w:id="180"/>
    <w:p>
      <w:pPr>
        <w:jc w:val="both"/>
        <w:spacing w:after="0" w:line="257" w:lineRule="auto"/>
        <w:rPr>
          <w:sz w:val="20"/>
          <w:szCs w:val="20"/>
          <w:color w:val="auto"/>
        </w:rPr>
      </w:pPr>
      <w:r>
        <w:rPr>
          <w:rFonts w:ascii="Times New Roman" w:cs="Times New Roman" w:eastAsia="Times New Roman" w:hAnsi="Times New Roman"/>
          <w:sz w:val="22"/>
          <w:szCs w:val="22"/>
          <w:color w:val="auto"/>
        </w:rPr>
        <w:t>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Proceeds from the sale of Shares, any dividends paid on such shares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held in a cash account abroad and you are no longer required to report the opening and maintenance of a foreign account to the Czech National Bank (the “CNB”), unless the CNB notifies you specifically that such reporting is required. Upon request of the CNB, you may need to file a notification within 15 days of the end of the calendar quarter in which you acquire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Danish Stock Option Act. </w:t>
      </w:r>
      <w:r>
        <w:rPr>
          <w:rFonts w:ascii="Times New Roman" w:cs="Times New Roman" w:eastAsia="Times New Roman" w:hAnsi="Times New Roman"/>
          <w:sz w:val="22"/>
          <w:szCs w:val="22"/>
          <w:color w:val="auto"/>
        </w:rPr>
        <w:t>In accepting the Performance Units, you acknowledge that you have received an Employer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translated into 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establish an account holding shares or an account holding cash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Securities/Tax Reporting Information. </w:t>
      </w:r>
      <w:r>
        <w:rPr>
          <w:rFonts w:ascii="Times New Roman" w:cs="Times New Roman" w:eastAsia="Times New Roman" w:hAnsi="Times New Roman"/>
          <w:sz w:val="21"/>
          <w:szCs w:val="21"/>
          <w:color w:val="auto"/>
        </w:rPr>
        <w:t>If you hold Shares acquired under the Plan in a brokerage account with a broker or bank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outside Denmark, you are required to inform the Danish Tax Administration about the account. For this purpose, you must sign and file a Form V (</w:t>
      </w:r>
      <w:r>
        <w:rPr>
          <w:rFonts w:ascii="Times New Roman" w:cs="Times New Roman" w:eastAsia="Times New Roman" w:hAnsi="Times New Roman"/>
          <w:sz w:val="21"/>
          <w:szCs w:val="21"/>
          <w:i w:val="1"/>
          <w:iCs w:val="1"/>
          <w:color w:val="auto"/>
        </w:rPr>
        <w:t>Erklaering V</w:t>
      </w:r>
      <w:r>
        <w:rPr>
          <w:rFonts w:ascii="Times New Roman" w:cs="Times New Roman" w:eastAsia="Times New Roman" w:hAnsi="Times New Roman"/>
          <w:sz w:val="21"/>
          <w:szCs w:val="21"/>
          <w:color w:val="auto"/>
        </w:rPr>
        <w:t>) with the Danish Tax Administration. 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 addition, if you open a brokerage account or a bank account with a U.S. bank, the account will be treated as a “deposit account” because cash can be held in the account. Therefore, you likely must also file a Form K (</w:t>
      </w:r>
      <w:r>
        <w:rPr>
          <w:rFonts w:ascii="Times New Roman" w:cs="Times New Roman" w:eastAsia="Times New Roman" w:hAnsi="Times New Roman"/>
          <w:sz w:val="22"/>
          <w:szCs w:val="22"/>
          <w:i w:val="1"/>
          <w:iCs w:val="1"/>
          <w:color w:val="auto"/>
        </w:rPr>
        <w:t>Erklaering K</w:t>
      </w:r>
      <w:r>
        <w:rPr>
          <w:rFonts w:ascii="Times New Roman" w:cs="Times New Roman" w:eastAsia="Times New Roman" w:hAnsi="Times New Roman"/>
          <w:sz w:val="22"/>
          <w:szCs w:val="22"/>
          <w:color w:val="auto"/>
        </w:rPr>
        <w:t>)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If the applicable broker or bank does not sign the Form K for any reason, you are solely responsible for providing the necessary information to the Danish Tax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- 7</w:t>
      </w:r>
    </w:p>
    <w:p>
      <w:pPr>
        <w:sectPr>
          <w:pgSz w:w="11900" w:h="16838" w:orient="portrait"/>
          <w:cols w:equalWidth="0" w:num="1">
            <w:col w:w="11420"/>
          </w:cols>
          <w:pgMar w:left="240" w:top="369" w:right="239" w:bottom="1440" w:gutter="0" w:footer="0" w:header="0"/>
        </w:sectPr>
      </w:pPr>
    </w:p>
    <w:bookmarkStart w:id="181" w:name="page182"/>
    <w:bookmarkEnd w:id="181"/>
    <w:p>
      <w:pPr>
        <w:jc w:val="both"/>
        <w:spacing w:after="0" w:line="271" w:lineRule="auto"/>
        <w:rPr>
          <w:sz w:val="20"/>
          <w:szCs w:val="20"/>
          <w:color w:val="auto"/>
        </w:rPr>
      </w:pPr>
      <w:r>
        <w:rPr>
          <w:rFonts w:ascii="Times New Roman" w:cs="Times New Roman" w:eastAsia="Times New Roman" w:hAnsi="Times New Roman"/>
          <w:sz w:val="22"/>
          <w:szCs w:val="22"/>
          <w:color w:val="auto"/>
        </w:rPr>
        <w:t>Administration. By signing the Form K, you authorize the Danish Tax Administration to examine the account. A sample of Declaration K can be found at the following website: www.skat.dk.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EGYPT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transfer funds into Egypt in connection with the Performance Units, you are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the funds through a registered bank in Egypt.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By accepting the Award, you confirm having read and understood the Plan and Agreement which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English language. You accept the terms of those documents accordingly.</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En acceptant l’prix, vous confirmez avoir lu et compris le Plan et le Contrat, qui ont été communiqués en langue anglaise. Vous acceptez les termes de ces documents en connaissance de cause.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Further, if you hold Shares outside of France or maintain a foreign bank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required to report such to the French tax authorities when filing your annual tax return. Failure to comply could trigger significant penalties.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can be accessed via the Bundesbank’s website (www.bundesbank.de) and is available in both German and English. You are responsible for satisfying the reporting obligation..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GREECE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HONG KONG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Appendix - 8</w:t>
      </w:r>
    </w:p>
    <w:p>
      <w:pPr>
        <w:sectPr>
          <w:pgSz w:w="11900" w:h="16838" w:orient="portrait"/>
          <w:cols w:equalWidth="0" w:num="1">
            <w:col w:w="11420"/>
          </w:cols>
          <w:pgMar w:left="240" w:top="369" w:right="239" w:bottom="1440" w:gutter="0" w:footer="0" w:header="0"/>
        </w:sectPr>
      </w:pPr>
    </w:p>
    <w:bookmarkStart w:id="182" w:name="page183"/>
    <w:bookmarkEnd w:id="182"/>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SECURITIES WARNING: The Performance Units and any Shares issued in respect of Performance Units do not constitute a public offering of securities under Hong Kong law and are available only to Participants under the Program. The Agreement, including this Appendix, the Program,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Performance Units and any documentation related thereto are intended solely for the personal use of each Participant under the Program and may not be distributed to any other person. If you are in doubt about any of the contents of the Agreement, including this Appendix, the Program or the Plan, you should obtain independent professional advice.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Performance Units Payable Only in Shares. </w:t>
      </w:r>
      <w:r>
        <w:rPr>
          <w:rFonts w:ascii="Times New Roman" w:cs="Times New Roman" w:eastAsia="Times New Roman" w:hAnsi="Times New Roman"/>
          <w:sz w:val="22"/>
          <w:szCs w:val="22"/>
          <w:color w:val="auto"/>
        </w:rPr>
        <w:t>Notwithstanding any discretion in the Plan or the Program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in the Agreement, the Award does not provide any right for you, as a resident of Hong Kong, to receive a cash payment and shall be paid in Shares only.</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Sale of Shares. </w:t>
      </w:r>
      <w:r>
        <w:rPr>
          <w:rFonts w:ascii="Times New Roman" w:cs="Times New Roman" w:eastAsia="Times New Roman" w:hAnsi="Times New Roman"/>
          <w:sz w:val="22"/>
          <w:szCs w:val="22"/>
          <w:color w:val="auto"/>
        </w:rPr>
        <w:t>In the event that Shares are issued in respect of Performance Units within six (6) months of the Grant Date,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you will not dispose of such shares prior to the six (6)-month anniversary of the Grant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HUNGARY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applicable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regulations in Iceland as such regulations are subject to frequent change. You are responsible for ensuring compliance with all exchange control laws in Iceland.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understand that you must repatriate any cash dividends paid on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to India or any Dividend Equivalents paid in cash within 180 days of receipt, and the Program and any proceeds from the sale of shares acquired under the Plan and the Program to India within 90 days of receipt. You will receive a foreign inward remittance certificate (“FIRC”)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are required to declare foreign bank accounts and any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- 9</w:t>
      </w:r>
    </w:p>
    <w:p>
      <w:pPr>
        <w:sectPr>
          <w:pgSz w:w="11900" w:h="16838" w:orient="portrait"/>
          <w:cols w:equalWidth="0" w:num="1">
            <w:col w:w="11420"/>
          </w:cols>
          <w:pgMar w:left="240" w:top="365"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This provision supplements Section IX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accepting the Award granted hereunder, you acknowledge your understanding and agreement that the benefits received under the Plan will not be taken into account for any redundancy or unfair dismissal claim.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Requirements. </w:t>
      </w:r>
      <w:r>
        <w:rPr>
          <w:rFonts w:ascii="Times New Roman" w:cs="Times New Roman" w:eastAsia="Times New Roman" w:hAnsi="Times New Roman"/>
          <w:sz w:val="22"/>
          <w:szCs w:val="22"/>
          <w:color w:val="auto"/>
        </w:rPr>
        <w:t>If you are a director, shadow director or secretary of an Irish Affiliate, you must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Irish Affiliate in writing within five (5) business days of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an Award or Shares), or within five (5) business days of becoming aware of the event giving rise to the notification requirement, or within five</w:t>
      </w:r>
    </w:p>
    <w:p>
      <w:pPr>
        <w:spacing w:after="0" w:line="1" w:lineRule="exact"/>
        <w:rPr>
          <w:sz w:val="20"/>
          <w:szCs w:val="20"/>
          <w:color w:val="auto"/>
        </w:rPr>
      </w:pPr>
    </w:p>
    <w:p>
      <w:pPr>
        <w:jc w:val="both"/>
        <w:ind w:firstLine="8"/>
        <w:spacing w:after="0" w:line="246" w:lineRule="auto"/>
        <w:tabs>
          <w:tab w:leader="none" w:pos="30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replaces Section XV of the Agreement:</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and the Program (“Data”).</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You also understand that providing the Company with Data is necessary for the performance of the Plan and the Program and that your refusal to provide such Data would make it impossible for the Company to perform its contractual obligations and may affect your ability to participate in the Plan and the Program.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will not be publicized, but it may be transferred to banks, other financial institutions, or brokers involved in the management and administration of the Plan and the Program.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the Program, and that the Company and/or any Affiliate may each further transfer Data to third parties assisting the Company in the implementation, administration, and management of the Plan and the Program, including any requisite transfer of Data to a broker or other third party with whom you may elect to deposit any Shares issued in respect of the Award. Such recipients may receive, possess, use, retain, and transfer Data in electronic or other form, for the purposes of implementing, administering, and managing your participation in the Plan and the Program. You understand that these recipients may be located in or outside the European Economic Area, such as in the United States or elsewhere. Should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- 10</w:t>
      </w:r>
    </w:p>
    <w:p>
      <w:pPr>
        <w:sectPr>
          <w:pgSz w:w="11900" w:h="16838" w:orient="portrait"/>
          <w:cols w:equalWidth="0" w:num="1">
            <w:col w:w="11420"/>
          </w:cols>
          <w:pgMar w:left="240" w:top="581" w:right="239" w:bottom="1440" w:gutter="0" w:footer="0" w:header="0"/>
        </w:sectPr>
      </w:pPr>
    </w:p>
    <w:bookmarkStart w:id="184" w:name="page185"/>
    <w:bookmarkEnd w:id="184"/>
    <w:p>
      <w:pPr>
        <w:jc w:val="both"/>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the Company exercise its discretion in suspending all necessary legal obligations connected with the management and administration of the Plan and the Program, it will delete Data as soon as it has completed all the necessary legal obligations connected with the management and administration of the Plan and the Program.</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Acknowledgement of Nature of Grant. </w:t>
      </w:r>
      <w:r>
        <w:rPr>
          <w:rFonts w:ascii="Times New Roman" w:cs="Times New Roman" w:eastAsia="Times New Roman" w:hAnsi="Times New Roman"/>
          <w:sz w:val="22"/>
          <w:szCs w:val="22"/>
          <w:color w:val="auto"/>
        </w:rPr>
        <w:t>By accepting the Award granted hereunder, you acknowledge that (1) you have received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 of the Plan, the Program, the Agreement and this Appendix; (2) you have reviewed the applicable documents in their entirety and fully understand the contents thereof; and (3) you accept all provisions of the Plan, the Program, the Agreement and this Appendix.</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acknowledge that you have read and specifically and explicitly approve, without limitation, the following sections of the Agreement: Section III, Section IV, Section V, Section IX, Section IV, Section XV (as replaced by the above consent), Section XVI and Section XX.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Italian residents who, at any time during the fiscal year, hold foreign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Foreign Financial Assets Tax. </w:t>
      </w:r>
      <w:r>
        <w:rPr>
          <w:rFonts w:ascii="Times New Roman" w:cs="Times New Roman" w:eastAsia="Times New Roman" w:hAnsi="Times New Roman"/>
          <w:sz w:val="22"/>
          <w:szCs w:val="22"/>
          <w:color w:val="auto"/>
        </w:rPr>
        <w:t>The fair market value of any Shares held outside of Italy is subject to a foreign assets tax.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- 11</w:t>
      </w:r>
    </w:p>
    <w:p>
      <w:pPr>
        <w:sectPr>
          <w:pgSz w:w="11900" w:h="16838" w:orient="portrait"/>
          <w:cols w:equalWidth="0" w:num="1">
            <w:col w:w="11420"/>
          </w:cols>
          <w:pgMar w:left="240" w:top="363" w:right="239" w:bottom="1440" w:gutter="0" w:footer="0" w:header="0"/>
        </w:sectPr>
      </w:pPr>
    </w:p>
    <w:bookmarkStart w:id="185" w:name="page186"/>
    <w:bookmarkEnd w:id="185"/>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You will be required to report to the Japanese tax authorities details of any assets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JORDAN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KOREA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are required to repatriate any proceeds in excess of US$500,000 realized in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from the sale of Shares or the receipt of dividends or Dividend Equivalents to Korea within 18 months of receipt.</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all foreign financial accounts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non-Korean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brokerage accounts holding Shares, etc.) to the Korean tax authority and file a report regarding such accounts if the value of such accounts exceeds KRW1,000,000,000 (or an equivalent amount in foreign currency). You should consult with your personal tax advisor to ensure compliance with this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LEBANON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LITHUANIA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Acknowledgement of the Grant. </w:t>
      </w:r>
      <w:r>
        <w:rPr>
          <w:rFonts w:ascii="Times New Roman" w:cs="Times New Roman" w:eastAsia="Times New Roman" w:hAnsi="Times New Roman"/>
          <w:sz w:val="22"/>
          <w:szCs w:val="22"/>
          <w:color w:val="auto"/>
        </w:rPr>
        <w:t>In accepting the Award granted hereunder, you acknowledge that you have received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spacing w:after="0" w:line="221"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do not constitute an acquired right.</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your participation in the Plan and the Program are offered by Amgen Inc. on a wholly discretionary basis.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participation in the Plan and the Program is voluntary.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- 12</w:t>
      </w:r>
    </w:p>
    <w:p>
      <w:pPr>
        <w:sectPr>
          <w:pgSz w:w="11900" w:h="16838" w:orient="portrait"/>
          <w:cols w:equalWidth="0" w:num="1">
            <w:col w:w="11420"/>
          </w:cols>
          <w:pgMar w:left="240" w:top="365" w:right="239" w:bottom="1440" w:gutter="0" w:footer="0" w:header="0"/>
        </w:sectPr>
      </w:pPr>
    </w:p>
    <w:bookmarkStart w:id="186" w:name="page187"/>
    <w:bookmarkEnd w:id="186"/>
    <w:p>
      <w:pPr>
        <w:ind w:left="1300" w:hanging="644"/>
        <w:spacing w:after="0" w:line="271" w:lineRule="auto"/>
        <w:tabs>
          <w:tab w:leader="none" w:pos="13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and its Affiliates are not responsible for any decrease in the value of any Shares issued with respect to the Award.</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Labor Law Acknowledgement and Policy Statement. </w:t>
      </w:r>
      <w:r>
        <w:rPr>
          <w:rFonts w:ascii="Times New Roman" w:cs="Times New Roman" w:eastAsia="Times New Roman" w:hAnsi="Times New Roman"/>
          <w:sz w:val="22"/>
          <w:szCs w:val="22"/>
          <w:color w:val="auto"/>
        </w:rPr>
        <w:t>In accepting any Award granted hereunder, you expressly recognize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(“Amgen-Mexico”).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Spanish Translation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Reconocimiento del Otorgamiento. </w:t>
      </w:r>
      <w:r>
        <w:rPr>
          <w:rFonts w:ascii="Times New Roman" w:cs="Times New Roman" w:eastAsia="Times New Roman" w:hAnsi="Times New Roman"/>
          <w:sz w:val="22"/>
          <w:szCs w:val="22"/>
          <w:color w:val="auto"/>
        </w:rPr>
        <w:t>Al aceptar cualquier Otorgamiento de Acciones bajo el presente documento, usted reconoce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VIII del Acuerdo del Otorgamiento, en los que se establece y describe claramente que:</w:t>
      </w:r>
    </w:p>
    <w:p>
      <w:pPr>
        <w:spacing w:after="0" w:line="18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y en el Programa de ninguna manera constituye un derecho adquirido.</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Plan y en el Programa son ofrecidos por Amgen Inc. de forma completamente discrecional.</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 participación en el Plan y en el Programa es voluntaria.</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Amgen Inc. y sus Afiliados no son responsables de ninguna disminución en el valor de las Acciones Comunes emitidas mediante el Plan.</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Reconocimiento de la Ley Laboral y Declaración de Política. </w:t>
      </w:r>
      <w:r>
        <w:rPr>
          <w:rFonts w:ascii="Times New Roman" w:cs="Times New Roman" w:eastAsia="Times New Roman" w:hAnsi="Times New Roman"/>
          <w:sz w:val="21"/>
          <w:szCs w:val="21"/>
          <w:color w:val="auto"/>
        </w:rPr>
        <w:t>Al aceptar cualquier Otorgamiento bajo el presente, usted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(“Amgen-Mexico”). Derivado de lo anterior, usted reconoce expresamente que el Plan y el Programa y los beneficios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- 13</w:t>
      </w:r>
    </w:p>
    <w:p>
      <w:pPr>
        <w:sectPr>
          <w:pgSz w:w="11900" w:h="16838" w:orient="portrait"/>
          <w:cols w:equalWidth="0" w:num="1">
            <w:col w:w="11420"/>
          </w:cols>
          <w:pgMar w:left="240" w:top="369" w:right="239" w:bottom="1440" w:gutter="0" w:footer="0" w:header="0"/>
        </w:sectPr>
      </w:pPr>
    </w:p>
    <w:bookmarkStart w:id="187" w:name="page188"/>
    <w:bookmarkEnd w:id="187"/>
    <w:p>
      <w:pPr>
        <w:jc w:val="both"/>
        <w:spacing w:after="0" w:line="275" w:lineRule="auto"/>
        <w:rPr>
          <w:sz w:val="20"/>
          <w:szCs w:val="20"/>
          <w:color w:val="auto"/>
        </w:rPr>
      </w:pPr>
      <w:r>
        <w:rPr>
          <w:rFonts w:ascii="Times New Roman" w:cs="Times New Roman" w:eastAsia="Times New Roman" w:hAnsi="Times New Roman"/>
          <w:sz w:val="21"/>
          <w:szCs w:val="21"/>
          <w:color w:val="auto"/>
        </w:rPr>
        <w:t>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MOROCCO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Sale Requirement. </w:t>
      </w:r>
      <w:r>
        <w:rPr>
          <w:rFonts w:ascii="Times New Roman" w:cs="Times New Roman" w:eastAsia="Times New Roman" w:hAnsi="Times New Roman"/>
          <w:sz w:val="22"/>
          <w:szCs w:val="22"/>
          <w:color w:val="auto"/>
        </w:rPr>
        <w:t>Notwithstanding anything to the contrary in the Agreement, due to exchange control laws in Morocco,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the Company reserves the right to require the immediate sale of any Shares acquired upon settlement of the Performance Units. Alternatively, if the Shares are not immediately sold upon settlement of the Performance Units, the Company may require the sale of any shares at a later date, including upon termination of your employment.</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Designated Broker Account. </w:t>
      </w:r>
      <w:r>
        <w:rPr>
          <w:rFonts w:ascii="Times New Roman" w:cs="Times New Roman" w:eastAsia="Times New Roman" w:hAnsi="Times New Roman"/>
          <w:sz w:val="22"/>
          <w:szCs w:val="22"/>
          <w:color w:val="auto"/>
        </w:rPr>
        <w:t>If Shares issued upon the settlement of the Performance Units are not immediately sold,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- 14</w:t>
      </w:r>
    </w:p>
    <w:p>
      <w:pPr>
        <w:sectPr>
          <w:pgSz w:w="11900" w:h="16838" w:orient="portrait"/>
          <w:cols w:equalWidth="0" w:num="1">
            <w:col w:w="11420"/>
          </w:cols>
          <w:pgMar w:left="240" w:top="369" w:right="239" w:bottom="1440" w:gutter="0" w:footer="0" w:header="0"/>
        </w:sectPr>
      </w:pPr>
    </w:p>
    <w:bookmarkStart w:id="188" w:name="page189"/>
    <w:bookmarkEnd w:id="188"/>
    <w:p>
      <w:pPr>
        <w:jc w:val="both"/>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local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the cash proceeds from the sale of the Shares issued upon settlement of the Performance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w:t>
      </w:r>
      <w:r>
        <w:rPr>
          <w:rFonts w:ascii="Times New Roman" w:cs="Times New Roman" w:eastAsia="Times New Roman" w:hAnsi="Times New Roman"/>
          <w:sz w:val="22"/>
          <w:szCs w:val="22"/>
          <w:i w:val="1"/>
          <w:iCs w:val="1"/>
          <w:color w:val="auto"/>
        </w:rPr>
        <w:t>Office des Changes</w:t>
      </w:r>
      <w:r>
        <w:rPr>
          <w:rFonts w:ascii="Times New Roman" w:cs="Times New Roman" w:eastAsia="Times New Roman" w:hAnsi="Times New Roman"/>
          <w:sz w:val="22"/>
          <w:szCs w:val="22"/>
          <w:color w:val="auto"/>
        </w:rPr>
        <w:t>).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NEW ZEALAND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NORWAY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grant of Performance Units is considered a private offering in Peru; therefore, it is not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Polish residents holding foreign securities (including Shares) and maintaining accounts abroad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- 15</w:t>
      </w:r>
    </w:p>
    <w:p>
      <w:pPr>
        <w:sectPr>
          <w:pgSz w:w="11900" w:h="16838" w:orient="portrait"/>
          <w:cols w:equalWidth="0" w:num="1">
            <w:col w:w="11420"/>
          </w:cols>
          <w:pgMar w:left="240" w:top="365" w:right="239" w:bottom="1440" w:gutter="0" w:footer="0" w:header="0"/>
        </w:sectPr>
      </w:pPr>
    </w:p>
    <w:bookmarkStart w:id="189" w:name="page190"/>
    <w:bookmarkEnd w:id="189"/>
    <w:p>
      <w:pPr>
        <w:jc w:val="both"/>
        <w:spacing w:after="0" w:line="271" w:lineRule="auto"/>
        <w:rPr>
          <w:sz w:val="20"/>
          <w:szCs w:val="20"/>
          <w:color w:val="auto"/>
        </w:rPr>
      </w:pPr>
      <w:r>
        <w:rPr>
          <w:rFonts w:ascii="Times New Roman" w:cs="Times New Roman" w:eastAsia="Times New Roman" w:hAnsi="Times New Roman"/>
          <w:sz w:val="22"/>
          <w:szCs w:val="22"/>
          <w:color w:val="auto"/>
        </w:rPr>
        <w:t>a specified threshold (currently €15,000). You must store all documents connected with any foreign exchange transactions you engage in for a period of five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PORTUGAL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Consent to Receive Information in English. </w:t>
      </w:r>
      <w:r>
        <w:rPr>
          <w:rFonts w:ascii="Times New Roman" w:cs="Times New Roman" w:eastAsia="Times New Roman" w:hAnsi="Times New Roman"/>
          <w:sz w:val="22"/>
          <w:szCs w:val="22"/>
          <w:color w:val="auto"/>
        </w:rPr>
        <w:t>You hereby expressly declare that you have full knowledge of the English language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have read, understood and fully accepted and agreed with the terms and conditions established in the Plan, the Program and Agreement.</w:t>
      </w:r>
    </w:p>
    <w:p>
      <w:pPr>
        <w:spacing w:after="0" w:line="16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Conhecimento da Lingua. </w:t>
      </w:r>
      <w:r>
        <w:rPr>
          <w:rFonts w:ascii="Times New Roman" w:cs="Times New Roman" w:eastAsia="Times New Roman" w:hAnsi="Times New Roman"/>
          <w:sz w:val="21"/>
          <w:szCs w:val="21"/>
          <w:i w:val="1"/>
          <w:iCs w:val="1"/>
          <w:color w:val="auto"/>
        </w:rPr>
        <w:t>Por meio do presente, eu declaro expressamente que tem pleno conhecimento da língua inglesa e que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li, compreendi e livremente aceitei e concordei com os termos e condições estabelecidas no Plano, no Programa e no Acordo.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do not hold the Shares issued in respect of the Award with a Portuguese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intermediary, you will need to file a report with the Portuguese Central Bank. If the shares are held by a Portuguese financial intermediary, it will file the report for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PUERTO RICO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ROMANIA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deposit proceeds from the sale of Shares or the receipt of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RUSSIA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Requirements. </w:t>
      </w:r>
      <w:r>
        <w:rPr>
          <w:rFonts w:ascii="Times New Roman" w:cs="Times New Roman" w:eastAsia="Times New Roman" w:hAnsi="Times New Roman"/>
          <w:sz w:val="22"/>
          <w:szCs w:val="22"/>
          <w:color w:val="auto"/>
        </w:rPr>
        <w:t>You understand and agree that, pursuant to Russian exchange control requirements,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repatriate to Russia the cash proceeds from the sale of the Shares issued to you upon settlement of the Performance Units and from the receipt of any dividends paid on such shares or Dividend Equivalents. You further understand that, under applicable laws, such proceeds must be initially credited to you through a foreign currency account opened in your name at an authorized bank in Russia. You further agree to comply with any other requirements that may be imposed by the Company in the future in order to facilitate compliance with exchange control requirements in Russia.</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Without limiting the generality of the foregoing, you acknowledge that the Company reserves the right, in its sole discretion, depending on developments in Russian exchange control laws and regulations, to force the immediate sale of any Shares to be issued upon vesting of the Award granted hereunder. You further agree that, if applicable, the Company is authorized to instruct Merrill Lynch Bank &amp; Trust Co., FSB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- 16</w:t>
      </w:r>
    </w:p>
    <w:p>
      <w:pPr>
        <w:sectPr>
          <w:pgSz w:w="11900" w:h="16838" w:orient="portrait"/>
          <w:cols w:equalWidth="0" w:num="1">
            <w:col w:w="11420"/>
          </w:cols>
          <w:pgMar w:left="240" w:top="369" w:right="239" w:bottom="1440" w:gutter="0" w:footer="0" w:header="0"/>
        </w:sectPr>
      </w:pPr>
    </w:p>
    <w:bookmarkStart w:id="190" w:name="page191"/>
    <w:bookmarkEnd w:id="190"/>
    <w:p>
      <w:pPr>
        <w:jc w:val="both"/>
        <w:spacing w:after="0" w:line="249" w:lineRule="auto"/>
        <w:rPr>
          <w:sz w:val="20"/>
          <w:szCs w:val="20"/>
          <w:color w:val="auto"/>
        </w:rPr>
      </w:pPr>
      <w:r>
        <w:rPr>
          <w:rFonts w:ascii="Times New Roman" w:cs="Times New Roman" w:eastAsia="Times New Roman" w:hAnsi="Times New Roman"/>
          <w:sz w:val="22"/>
          <w:szCs w:val="22"/>
          <w:color w:val="auto"/>
        </w:rPr>
        <w:t>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such shares, less any brokerage fees or commissions and subject to your obligations in connection with the Tax Obligations.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Securities Law Requirements. </w:t>
      </w:r>
      <w:r>
        <w:rPr>
          <w:rFonts w:ascii="Times New Roman" w:cs="Times New Roman" w:eastAsia="Times New Roman" w:hAnsi="Times New Roman"/>
          <w:sz w:val="22"/>
          <w:szCs w:val="22"/>
          <w:color w:val="auto"/>
        </w:rPr>
        <w:t>The Award granted hereunder, the Agreement, including this Appendix, the Program,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no event will Shares acquired under the Plan be delivered to you in Russia; all Shares will be maintained on your behalf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are not permitted to sell any shares acquired under the Plan directly to a Russian legal entity or resident.</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Labor Law Information. </w:t>
      </w:r>
      <w:r>
        <w:rPr>
          <w:rFonts w:ascii="Times New Roman" w:cs="Times New Roman" w:eastAsia="Times New Roman" w:hAnsi="Times New Roman"/>
          <w:sz w:val="22"/>
          <w:szCs w:val="22"/>
          <w:color w:val="auto"/>
        </w:rPr>
        <w:t>You acknowledge that if you continue to hold Shares acquired under the Plan after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you will not be eligible to receive unemployment benefits in Russia.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Data Privacy Notice. </w:t>
      </w:r>
      <w:r>
        <w:rPr>
          <w:rFonts w:ascii="Times New Roman" w:cs="Times New Roman" w:eastAsia="Times New Roman" w:hAnsi="Times New Roman"/>
          <w:sz w:val="22"/>
          <w:szCs w:val="22"/>
          <w:color w:val="auto"/>
        </w:rPr>
        <w:t>The following provision supplements Section XV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You understand and agree that you must complete and return a Consent to Processing of Personal Data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After the funds from the sale of Shares are initially received in Russia, pursuant to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repatriation 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 (v) 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 Development (“</w:t>
      </w:r>
      <w:r>
        <w:rPr>
          <w:rFonts w:ascii="Times New Roman" w:cs="Times New Roman" w:eastAsia="Times New Roman" w:hAnsi="Times New Roman"/>
          <w:sz w:val="21"/>
          <w:szCs w:val="21"/>
          <w:u w:val="single" w:color="auto"/>
          <w:color w:val="auto"/>
        </w:rPr>
        <w:t>OECD</w:t>
      </w:r>
      <w:r>
        <w:rPr>
          <w:rFonts w:ascii="Times New Roman" w:cs="Times New Roman" w:eastAsia="Times New Roman" w:hAnsi="Times New Roman"/>
          <w:sz w:val="21"/>
          <w:szCs w:val="21"/>
          <w:color w:val="auto"/>
        </w:rPr>
        <w:t>”) or Financial Action Task Force (“</w:t>
      </w:r>
      <w:r>
        <w:rPr>
          <w:rFonts w:ascii="Times New Roman" w:cs="Times New Roman" w:eastAsia="Times New Roman" w:hAnsi="Times New Roman"/>
          <w:sz w:val="21"/>
          <w:szCs w:val="21"/>
          <w:u w:val="single" w:color="auto"/>
          <w:color w:val="auto"/>
        </w:rPr>
        <w:t>FATF</w:t>
      </w:r>
      <w:r>
        <w:rPr>
          <w:rFonts w:ascii="Times New Roman" w:cs="Times New Roman" w:eastAsia="Times New Roman" w:hAnsi="Times New Roman"/>
          <w:sz w:val="21"/>
          <w:szCs w:val="21"/>
          <w:color w:val="auto"/>
        </w:rPr>
        <w:t>”) countries, without first remitting them to your bank account in Russia. You are encouraged to contact your personal advisor before remitting your proceeds from participation in the Plan and the Program to Russia as exchange control requirements may change.</w:t>
      </w:r>
    </w:p>
    <w:p>
      <w:pPr>
        <w:spacing w:after="0" w:line="17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Anti-Corruption Legislation Information. </w:t>
      </w:r>
      <w:r>
        <w:rPr>
          <w:rFonts w:ascii="Times New Roman" w:cs="Times New Roman" w:eastAsia="Times New Roman" w:hAnsi="Times New Roman"/>
          <w:sz w:val="22"/>
          <w:szCs w:val="22"/>
          <w:color w:val="auto"/>
        </w:rPr>
        <w:t>Individuals holding public office in Russia, as well as their spouses and 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children, may be prohibited from opening or maintaining a foreign brokerage or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- 17</w:t>
      </w:r>
    </w:p>
    <w:p>
      <w:pPr>
        <w:sectPr>
          <w:pgSz w:w="11900" w:h="16838" w:orient="portrait"/>
          <w:cols w:equalWidth="0" w:num="1">
            <w:col w:w="11420"/>
          </w:cols>
          <w:pgMar w:left="240" w:top="369" w:right="239" w:bottom="1440" w:gutter="0" w:footer="0" w:header="0"/>
        </w:sectPr>
      </w:pPr>
    </w:p>
    <w:bookmarkStart w:id="191" w:name="page192"/>
    <w:bookmarkEnd w:id="191"/>
    <w:p>
      <w:pPr>
        <w:jc w:val="both"/>
        <w:spacing w:after="0" w:line="295" w:lineRule="auto"/>
        <w:rPr>
          <w:sz w:val="20"/>
          <w:szCs w:val="20"/>
          <w:color w:val="auto"/>
        </w:rPr>
      </w:pPr>
      <w:r>
        <w:rPr>
          <w:rFonts w:ascii="Times New Roman" w:cs="Times New Roman" w:eastAsia="Times New Roman" w:hAnsi="Times New Roman"/>
          <w:sz w:val="21"/>
          <w:szCs w:val="21"/>
          <w:color w:val="auto"/>
        </w:rPr>
        <w:t>account and holding any securities, whether acquired directly or indirectly, in a foreign company (including Shares acquired under the Plan). You should consult with your personal legal advisor to determine if this restriction applies to your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SAUDI ARABIA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This document may not be distributed in the Kingdom of Saudi Arabia except to such persons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Offers of Securities Regulations issued by the Capital Market Authority.</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Performance Units is being made pursuant to the “Qualifying Person” exemption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273(1)(f) of the Securities and Futures Act (Chapter 289, 2006 Ed.) (“</w:t>
      </w:r>
      <w:r>
        <w:rPr>
          <w:rFonts w:ascii="Times New Roman" w:cs="Times New Roman" w:eastAsia="Times New Roman" w:hAnsi="Times New Roman"/>
          <w:sz w:val="22"/>
          <w:szCs w:val="22"/>
          <w:u w:val="single" w:color="auto"/>
          <w:color w:val="auto"/>
        </w:rPr>
        <w:t>SFA</w:t>
      </w:r>
      <w:r>
        <w:rPr>
          <w:rFonts w:ascii="Times New Roman" w:cs="Times New Roman" w:eastAsia="Times New Roman" w:hAnsi="Times New Roman"/>
          <w:sz w:val="22"/>
          <w:szCs w:val="22"/>
          <w:color w:val="auto"/>
        </w:rPr>
        <w:t>”) and is not made with a view to the Performance Units being subsequently offered for sale to any other party. The Plan has not been lodged or registered as a prospectus with the Monetary Authority of Singapore. You should note that the Performance Units are subject to section 257 of the SFA and you will not be able to make (i) any subsequent sale of Shares in Singapore or (ii) any offer of such subsequent sale of the shares subject to the Performance Units in Singapore, unless such sale or offer is made pursuant to the exemptions under Part XIII Division (1) Subdivision (4) (other than section 280) of the SFA.</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Requirement. </w:t>
      </w:r>
      <w:r>
        <w:rPr>
          <w:rFonts w:ascii="Times New Roman" w:cs="Times New Roman" w:eastAsia="Times New Roman" w:hAnsi="Times New Roman"/>
          <w:sz w:val="22"/>
          <w:szCs w:val="22"/>
          <w:color w:val="auto"/>
        </w:rPr>
        <w:t>Directors, associate directors and shadow directors of a Singapore Affiliate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notification requirements under the Singapore Companies Act. Directors, associate directors and shadow directors must notify the Singapore Affiliate in writing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Performance Units, Shares, etc.) in the Company or any related company within two (2) business days of (i) its acquisition or disposal, (ii) any change in a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when the shares are sold), or (iii) becoming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SLOVAK REPUBLIC</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Foreign Asset/Account Reporting Information. </w:t>
      </w:r>
      <w:r>
        <w:rPr>
          <w:rFonts w:ascii="Times New Roman" w:cs="Times New Roman" w:eastAsia="Times New Roman" w:hAnsi="Times New Roman"/>
          <w:sz w:val="21"/>
          <w:szCs w:val="21"/>
          <w:color w:val="auto"/>
        </w:rPr>
        <w:t>If you permanently reside in the Slovak Republic and, apart from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www.nbs.sk.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SLOVENIA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- 18</w:t>
      </w:r>
    </w:p>
    <w:p>
      <w:pPr>
        <w:sectPr>
          <w:pgSz w:w="11900" w:h="16838" w:orient="portrait"/>
          <w:cols w:equalWidth="0" w:num="1">
            <w:col w:w="11420"/>
          </w:cols>
          <w:pgMar w:left="240" w:top="369"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SOUTH AFRICA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r>
        <w:rPr>
          <w:rFonts w:ascii="Times New Roman" w:cs="Times New Roman" w:eastAsia="Times New Roman" w:hAnsi="Times New Roman"/>
          <w:sz w:val="22"/>
          <w:szCs w:val="22"/>
          <w:color w:val="auto"/>
        </w:rPr>
        <w:t>. The following provision supplements Section V of the Agreement: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By accepting the Performance Units, you agree that, immediately upon vesting and settlement of the Performance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Because no transfer of funds from South Africa is required under the Performance Units,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or reporting requirements should apply when the Performance Units are granted or when Shares are issued upon vesting and settlement of the Performance Units. However, because the exchange control regulations are subject to change, you should consult your personal advisor prior to vesting and settlement of the Performance Units to ensure compliance with current regulations. You are responsible for ensuring compliance with all exchange control laws in South Africa.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Labor Law Acknowledgement. </w:t>
      </w:r>
      <w:r>
        <w:rPr>
          <w:rFonts w:ascii="Times New Roman" w:cs="Times New Roman" w:eastAsia="Times New Roman" w:hAnsi="Times New Roman"/>
          <w:sz w:val="22"/>
          <w:szCs w:val="22"/>
          <w:color w:val="auto"/>
        </w:rPr>
        <w:t>The following provision supplements Section IX of the Agreement:</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By accepting the Award granted hereunder, you consent to participation in the Plan and the Program and acknowledge that you have received a copy of the Plan and the Program.</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You understand that the Company has unilaterally, gratuitously and in its sole discretion decided to grant the Award under the Plan and the Program to individuals who may be members of the Board, Employees, or Consultants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- 19</w:t>
      </w:r>
    </w:p>
    <w:p>
      <w:pPr>
        <w:sectPr>
          <w:pgSz w:w="11900" w:h="16838" w:orient="portrait"/>
          <w:cols w:equalWidth="0" w:num="1">
            <w:col w:w="11420"/>
          </w:cols>
          <w:pgMar w:left="240" w:top="369" w:right="239" w:bottom="1440" w:gutter="0" w:footer="0" w:header="0"/>
        </w:sectPr>
      </w:pPr>
    </w:p>
    <w:bookmarkStart w:id="193" w:name="page194"/>
    <w:bookmarkEnd w:id="193"/>
    <w:p>
      <w:pPr>
        <w:jc w:val="both"/>
        <w:spacing w:after="0" w:line="248" w:lineRule="auto"/>
        <w:rPr>
          <w:sz w:val="20"/>
          <w:szCs w:val="20"/>
          <w:color w:val="auto"/>
        </w:rPr>
      </w:pPr>
      <w:r>
        <w:rPr>
          <w:rFonts w:ascii="Times New Roman" w:cs="Times New Roman" w:eastAsia="Times New Roman" w:hAnsi="Times New Roman"/>
          <w:sz w:val="22"/>
          <w:szCs w:val="22"/>
          <w:color w:val="auto"/>
        </w:rPr>
        <w:t>(unless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82" w:lineRule="exact"/>
        <w:rPr>
          <w:sz w:val="20"/>
          <w:szCs w:val="20"/>
          <w:color w:val="auto"/>
        </w:rPr>
      </w:pPr>
    </w:p>
    <w:p>
      <w:pPr>
        <w:ind w:right="1300"/>
        <w:spacing w:after="0" w:line="446" w:lineRule="auto"/>
        <w:rPr>
          <w:sz w:val="20"/>
          <w:szCs w:val="20"/>
          <w:color w:val="auto"/>
        </w:rPr>
      </w:pPr>
      <w:r>
        <w:rPr>
          <w:rFonts w:ascii="Times New Roman" w:cs="Times New Roman" w:eastAsia="Times New Roman" w:hAnsi="Times New Roman"/>
          <w:sz w:val="22"/>
          <w:szCs w:val="22"/>
          <w:color w:val="auto"/>
        </w:rPr>
        <w:t xml:space="preserve">You acknowledge that you have read and specifically accept the conditions referred to in Section I of the Agreement. </w:t>
      </w:r>
      <w:r>
        <w:rPr>
          <w:rFonts w:ascii="Times New Roman" w:cs="Times New Roman" w:eastAsia="Times New Roman" w:hAnsi="Times New Roman"/>
          <w:sz w:val="22"/>
          <w:szCs w:val="22"/>
          <w:b w:val="1"/>
          <w:bCs w:val="1"/>
          <w:i w:val="1"/>
          <w:iCs w:val="1"/>
          <w:color w:val="auto"/>
        </w:rPr>
        <w:t>NOTIFICATIONS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No “offer of securities to the public,” as defined under Spanish law, has taken place or will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place in the Spanish territory. The Agreement (including this Appendix) has not been nor will it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you acquire shares under the Plan, you must declare the acquisition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Direccion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de Comercio e Inversiones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DGCI</w:t>
      </w:r>
      <w:r>
        <w:rPr>
          <w:rFonts w:ascii="Times New Roman" w:cs="Times New Roman" w:eastAsia="Times New Roman" w:hAnsi="Times New Roman"/>
          <w:sz w:val="22"/>
          <w:szCs w:val="22"/>
          <w:color w:val="auto"/>
        </w:rPr>
        <w:t>”). If you acquire the shares through the use of a Spanish financial institution, that institution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8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You are required to declare electronically to the Bank of Spain any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Notification. </w:t>
      </w:r>
      <w:r>
        <w:rPr>
          <w:rFonts w:ascii="Times New Roman" w:cs="Times New Roman" w:eastAsia="Times New Roman" w:hAnsi="Times New Roman"/>
          <w:sz w:val="22"/>
          <w:szCs w:val="22"/>
          <w:color w:val="auto"/>
        </w:rPr>
        <w:t>The Award offered hereunder is considered a private offering in Switzerland and is, therefore,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registration in Switzerland.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- 20</w:t>
      </w:r>
    </w:p>
    <w:p>
      <w:pPr>
        <w:sectPr>
          <w:pgSz w:w="11900" w:h="16838" w:orient="portrait"/>
          <w:cols w:equalWidth="0" w:num="1">
            <w:col w:w="11420"/>
          </w:cols>
          <w:pgMar w:left="240" w:top="369"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b w:val="1"/>
          <w:bCs w:val="1"/>
          <w:u w:val="single" w:color="auto"/>
          <w:color w:val="auto"/>
        </w:rPr>
        <w:t>TAIWAN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may acquire and remit foreign currency (including proceeds from the sale of Shares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THAILAND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If proceeds from the sale of Shares or the receipt of any dividends or Dividend Equivalents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TUNISIA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Exchange Control Information. </w:t>
      </w:r>
      <w:r>
        <w:rPr>
          <w:rFonts w:ascii="Times New Roman" w:cs="Times New Roman" w:eastAsia="Times New Roman" w:hAnsi="Times New Roman"/>
          <w:sz w:val="21"/>
          <w:szCs w:val="21"/>
          <w:color w:val="auto"/>
        </w:rPr>
        <w:t>If you hold assets (including Shares acquired under the Plan) outside Tunisia and the value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assets exceeds a certain threshold (currently TDN 500), you must declare the assets to the Central Bank of Tunisia within six</w:t>
      </w:r>
    </w:p>
    <w:p>
      <w:pPr>
        <w:spacing w:after="0" w:line="2" w:lineRule="exact"/>
        <w:rPr>
          <w:sz w:val="20"/>
          <w:szCs w:val="20"/>
          <w:color w:val="auto"/>
        </w:rPr>
      </w:pPr>
    </w:p>
    <w:p>
      <w:pPr>
        <w:jc w:val="both"/>
        <w:ind w:right="20" w:firstLine="8"/>
        <w:spacing w:after="0" w:line="246" w:lineRule="auto"/>
        <w:tabs>
          <w:tab w:leader="none" w:pos="32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TURKEY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Under Turkish law, you are not permitted to sell Shares acquired under the Plan in Turkey. You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Pursuant to Decree No. 32 on the Protection of the Value of the Turkish Currency (“</w:t>
      </w:r>
      <w:r>
        <w:rPr>
          <w:rFonts w:ascii="Times New Roman" w:cs="Times New Roman" w:eastAsia="Times New Roman" w:hAnsi="Times New Roman"/>
          <w:sz w:val="22"/>
          <w:szCs w:val="22"/>
          <w:u w:val="single" w:color="auto"/>
          <w:color w:val="auto"/>
        </w:rPr>
        <w:t>Decree 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Communique No. 2008-32/34 on Decree No. 32, any activity related to investments in foreign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sale of Shares under the Plan, the receipt of cash dividends or 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ARAB EMIRATES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- 21</w:t>
      </w:r>
    </w:p>
    <w:p>
      <w:pPr>
        <w:sectPr>
          <w:pgSz w:w="11900" w:h="16838" w:orient="portrait"/>
          <w:cols w:equalWidth="0" w:num="1">
            <w:col w:w="11420"/>
          </w:cols>
          <w:pgMar w:left="240" w:top="365" w:right="239" w:bottom="1440" w:gutter="0" w:footer="0" w:header="0"/>
        </w:sectPr>
      </w:pPr>
    </w:p>
    <w:bookmarkStart w:id="195" w:name="page196"/>
    <w:bookmarkEnd w:id="195"/>
    <w:p>
      <w:pPr>
        <w:jc w:val="both"/>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color w:val="auto"/>
        </w:rPr>
        <w:t>Performance Units under the Plan are available only to Participants under the Program and are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This provision supplements Section V of the Agreement:</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You agree that if you do not pay or your Employer or the Company does not withhold from you the full amount of income tax that you owe due at issuance of Shares in respect of the Performance Units, or the release or assignment of the Performance Units for consideration, or the receipt of any other benefit in connection with the Performance Units (the “</w:t>
      </w:r>
      <w:r>
        <w:rPr>
          <w:rFonts w:ascii="Times New Roman" w:cs="Times New Roman" w:eastAsia="Times New Roman" w:hAnsi="Times New Roman"/>
          <w:sz w:val="22"/>
          <w:szCs w:val="22"/>
          <w:u w:val="single" w:color="auto"/>
          <w:color w:val="auto"/>
        </w:rPr>
        <w:t>Taxable Event</w:t>
      </w:r>
      <w:r>
        <w:rPr>
          <w:rFonts w:ascii="Times New Roman" w:cs="Times New Roman" w:eastAsia="Times New Roman" w:hAnsi="Times New Roman"/>
          <w:sz w:val="22"/>
          <w:szCs w:val="22"/>
          <w:color w:val="auto"/>
        </w:rPr>
        <w:t>”) within 90 days after the end of the tax year in which the Taxable Event occurs, or such other period specified in Section 222(1)(c) of the U.K. Income Tax (Earnings and Pensions) Act 2003 (the “Due Date”), then the amount that should have been withheld and/or paid shall constitute a loan owed by you to your Employer, effective on the Due Date. You agree that the loan will bear interest at the official rate of HM Revenue and Customs (“</w:t>
      </w:r>
      <w:r>
        <w:rPr>
          <w:rFonts w:ascii="Times New Roman" w:cs="Times New Roman" w:eastAsia="Times New Roman" w:hAnsi="Times New Roman"/>
          <w:sz w:val="22"/>
          <w:szCs w:val="22"/>
          <w:u w:val="single" w:color="auto"/>
          <w:color w:val="auto"/>
        </w:rPr>
        <w:t>HMRC</w:t>
      </w:r>
      <w:r>
        <w:rPr>
          <w:rFonts w:ascii="Times New Roman" w:cs="Times New Roman" w:eastAsia="Times New Roman" w:hAnsi="Times New Roman"/>
          <w:sz w:val="22"/>
          <w:szCs w:val="22"/>
          <w:color w:val="auto"/>
        </w:rPr>
        <w:t>”) and will be immediately due and repayable by you, and the Company and/or your Employer may recover it at any time thereafter (subject to Section V of the Agreement) by any of the means described in Section V of the Agreement. You also authorize the Company to delay the issuance of any Shares to you unless and until the loan is repaid in full.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Notwithstanding the foregoing, if you are an executive officer or director (as within the meaning of Section 13(k) of the Exchange Act, as amended), from time to time, the terms of the immediately foregoing provision will not apply. In the event that you are an officer or executive director and income tax is not collected from or paid by you by the Due Date, the amount of any uncollected income tax may constitute a benefit to you on which additional income tax and national insurance contributions (“</w:t>
      </w:r>
      <w:r>
        <w:rPr>
          <w:rFonts w:ascii="Times New Roman" w:cs="Times New Roman" w:eastAsia="Times New Roman" w:hAnsi="Times New Roman"/>
          <w:sz w:val="21"/>
          <w:szCs w:val="21"/>
          <w:u w:val="single" w:color="auto"/>
          <w:color w:val="auto"/>
        </w:rPr>
        <w:t>NICs</w:t>
      </w:r>
      <w:r>
        <w:rPr>
          <w:rFonts w:ascii="Times New Roman" w:cs="Times New Roman" w:eastAsia="Times New Roman" w:hAnsi="Times New Roman"/>
          <w:sz w:val="21"/>
          <w:szCs w:val="21"/>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the Employer may recover from you by any of the means set forth in Section V of the Agreement.</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Joint Election. </w:t>
      </w:r>
      <w:r>
        <w:rPr>
          <w:rFonts w:ascii="Times New Roman" w:cs="Times New Roman" w:eastAsia="Times New Roman" w:hAnsi="Times New Roman"/>
          <w:sz w:val="22"/>
          <w:szCs w:val="22"/>
          <w:color w:val="auto"/>
        </w:rPr>
        <w:t>As a condition of the Award, you agree to accept any liability for secondary Class 1 National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Contributions (the “</w:t>
      </w:r>
      <w:r>
        <w:rPr>
          <w:rFonts w:ascii="Times New Roman" w:cs="Times New Roman" w:eastAsia="Times New Roman" w:hAnsi="Times New Roman"/>
          <w:sz w:val="22"/>
          <w:szCs w:val="22"/>
          <w:u w:val="single" w:color="auto"/>
          <w:color w:val="auto"/>
        </w:rPr>
        <w:t>Employer NICs</w:t>
      </w:r>
      <w:r>
        <w:rPr>
          <w:rFonts w:ascii="Times New Roman" w:cs="Times New Roman" w:eastAsia="Times New Roman" w:hAnsi="Times New Roman"/>
          <w:sz w:val="22"/>
          <w:szCs w:val="22"/>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Without limitation to the foregoing, you agree to make an election (the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- 22</w:t>
      </w:r>
    </w:p>
    <w:p>
      <w:pPr>
        <w:sectPr>
          <w:pgSz w:w="11900" w:h="16838" w:orient="portrait"/>
          <w:cols w:equalWidth="0" w:num="1">
            <w:col w:w="11420"/>
          </w:cols>
          <w:pgMar w:left="240" w:top="365" w:right="239" w:bottom="1440" w:gutter="0" w:footer="0" w:header="0"/>
        </w:sectPr>
      </w:pPr>
    </w:p>
    <w:bookmarkStart w:id="196" w:name="page197"/>
    <w:bookmarkEnd w:id="196"/>
    <w:p>
      <w:pPr>
        <w:jc w:val="both"/>
        <w:spacing w:after="0" w:line="271" w:lineRule="auto"/>
        <w:rPr>
          <w:sz w:val="20"/>
          <w:szCs w:val="20"/>
          <w:color w:val="auto"/>
        </w:rPr>
      </w:pPr>
      <w:r>
        <w:rPr>
          <w:rFonts w:ascii="Times New Roman" w:cs="Times New Roman" w:eastAsia="Times New Roman" w:hAnsi="Times New Roman"/>
          <w:sz w:val="22"/>
          <w:szCs w:val="22"/>
          <w:color w:val="auto"/>
        </w:rPr>
        <w:t>You hereby authorize the Company and your Employer to withhold such Employer NICs by any of the means set forth in Section V of the Agreement.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The following provision replaces Section IX(j) of the Award Agreement:</w:t>
      </w:r>
    </w:p>
    <w:p>
      <w:pPr>
        <w:spacing w:after="0" w:line="224" w:lineRule="exact"/>
        <w:rPr>
          <w:sz w:val="20"/>
          <w:szCs w:val="20"/>
          <w:color w:val="auto"/>
        </w:rPr>
      </w:pPr>
    </w:p>
    <w:p>
      <w:pPr>
        <w:jc w:val="both"/>
        <w:ind w:firstLine="8"/>
        <w:spacing w:after="0" w:line="250" w:lineRule="auto"/>
        <w:tabs>
          <w:tab w:leader="none" w:pos="55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right will be extended by any notice period mandated by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Worker Adjustment and Retraining Notification Act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VENEZUELA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Form of Settlement- Performance Units Payable Only in Shares. </w:t>
      </w:r>
      <w:r>
        <w:rPr>
          <w:rFonts w:ascii="Times New Roman" w:cs="Times New Roman" w:eastAsia="Times New Roman" w:hAnsi="Times New Roman"/>
          <w:sz w:val="22"/>
          <w:szCs w:val="22"/>
          <w:color w:val="auto"/>
        </w:rPr>
        <w:t>Notwithstanding any discretion in the Plan or anything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in the Agreement, the Performance Units do not provide any right for you, as a resident of Venezuela, to receive a cash payment and shall be paid in Shares only.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Any Shares acquired under the Plan are intended to be a personal investment and are not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of reselling the shares and converting the proceeds into foreign currency. You are advised to consult with your personal legal advisor prior to vesting and settlement of the Performance Units to ensure compliance with the applicable exchange control regulations in Venezuela, as such regulations change frequently. You are solely responsible for ensuring compliance with all exchange control laws in Venezuela.</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Performance Units granted under the Plan and the Shares issued under the Plan are offered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private, exclusive transaction and do not constitute a public offering under local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- 23</w:t>
      </w:r>
    </w:p>
    <w:p>
      <w:pPr>
        <w:sectPr>
          <w:pgSz w:w="11900" w:h="16838" w:orient="portrait"/>
          <w:cols w:equalWidth="0" w:num="1">
            <w:col w:w="11420"/>
          </w:cols>
          <w:pgMar w:left="240" w:top="369"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260" w:right="160"/>
        <w:spacing w:after="0" w:line="349" w:lineRule="auto"/>
        <w:rPr>
          <w:sz w:val="20"/>
          <w:szCs w:val="20"/>
          <w:color w:val="auto"/>
        </w:rPr>
      </w:pPr>
      <w:r>
        <w:rPr>
          <w:rFonts w:ascii="Times New Roman" w:cs="Times New Roman" w:eastAsia="Times New Roman" w:hAnsi="Times New Roman"/>
          <w:sz w:val="18"/>
          <w:szCs w:val="18"/>
          <w:b w:val="1"/>
          <w:bCs w:val="1"/>
          <w:color w:val="auto"/>
        </w:rPr>
        <w:t>Note: Redacted portions have been marked with [*]. The redacted portions are subject to a request for confidential treatment that has been filed with the Securities and Exchange Commission.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AGREEMENT</w:t>
      </w:r>
    </w:p>
    <w:p>
      <w:pPr>
        <w:spacing w:after="0" w:line="3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This Amendment No. 1 to the Collaboration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the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October, 2014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xml:space="preserve">”) by and between </w:t>
      </w:r>
      <w:r>
        <w:rPr>
          <w:rFonts w:ascii="Times New Roman" w:cs="Times New Roman" w:eastAsia="Times New Roman" w:hAnsi="Times New Roman"/>
          <w:sz w:val="21"/>
          <w:szCs w:val="21"/>
          <w:b w:val="1"/>
          <w:bCs w:val="1"/>
          <w:color w:val="auto"/>
        </w:rPr>
        <w:t>Amgen Inc.</w:t>
      </w:r>
      <w:r>
        <w:rPr>
          <w:rFonts w:ascii="Times New Roman" w:cs="Times New Roman" w:eastAsia="Times New Roman" w:hAnsi="Times New Roman"/>
          <w:sz w:val="21"/>
          <w:szCs w:val="21"/>
          <w:color w:val="auto"/>
        </w:rPr>
        <w:t>, a Delaware corporation with a place of business at One Amgen Center Drive, Thousand Oaks, California 91320 (“</w:t>
      </w:r>
      <w:r>
        <w:rPr>
          <w:rFonts w:ascii="Times New Roman" w:cs="Times New Roman" w:eastAsia="Times New Roman" w:hAnsi="Times New Roman"/>
          <w:sz w:val="21"/>
          <w:szCs w:val="21"/>
          <w:b w:val="1"/>
          <w:bCs w:val="1"/>
          <w:color w:val="auto"/>
        </w:rPr>
        <w:t>Amgen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AstraZeneca Collaboration Ventures, LLC</w:t>
      </w:r>
      <w:r>
        <w:rPr>
          <w:rFonts w:ascii="Times New Roman" w:cs="Times New Roman" w:eastAsia="Times New Roman" w:hAnsi="Times New Roman"/>
          <w:sz w:val="21"/>
          <w:szCs w:val="21"/>
          <w:color w:val="auto"/>
        </w:rPr>
        <w:t>, a Delaware limited liability company with a place of business at 1800 Concord Pike, Wilmington, Delaware 19850 (“</w:t>
      </w:r>
      <w:r>
        <w:rPr>
          <w:rFonts w:ascii="Times New Roman" w:cs="Times New Roman" w:eastAsia="Times New Roman" w:hAnsi="Times New Roman"/>
          <w:sz w:val="21"/>
          <w:szCs w:val="21"/>
          <w:b w:val="1"/>
          <w:bCs w:val="1"/>
          <w:color w:val="auto"/>
        </w:rPr>
        <w:t>Partner</w:t>
      </w:r>
      <w:r>
        <w:rPr>
          <w:rFonts w:ascii="Times New Roman" w:cs="Times New Roman" w:eastAsia="Times New Roman" w:hAnsi="Times New Roman"/>
          <w:sz w:val="21"/>
          <w:szCs w:val="21"/>
          <w:color w:val="auto"/>
        </w:rPr>
        <w:t>”). Amgen and Partner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AstraZeneca Pharmaceuticals LP, the parent corporation of Partner (“</w:t>
      </w:r>
      <w:r>
        <w:rPr>
          <w:rFonts w:ascii="Times New Roman" w:cs="Times New Roman" w:eastAsia="Times New Roman" w:hAnsi="Times New Roman"/>
          <w:sz w:val="21"/>
          <w:szCs w:val="21"/>
          <w:b w:val="1"/>
          <w:bCs w:val="1"/>
          <w:color w:val="auto"/>
        </w:rPr>
        <w:t>AstraZeneca</w:t>
      </w:r>
      <w:r>
        <w:rPr>
          <w:rFonts w:ascii="Times New Roman" w:cs="Times New Roman" w:eastAsia="Times New Roman" w:hAnsi="Times New Roman"/>
          <w:sz w:val="21"/>
          <w:szCs w:val="21"/>
          <w:color w:val="auto"/>
        </w:rPr>
        <w:t>”), [*] of the Agreement (as defined below) is a party to this Amendment [*].</w:t>
      </w:r>
    </w:p>
    <w:p>
      <w:pPr>
        <w:spacing w:after="0" w:line="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Amgen and Partner entered into that certain Collaboration Agreement, dated as of March 30, 2012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Amgen and Partner wish to update certain portions of the Agreement.</w:t>
      </w:r>
    </w:p>
    <w:p>
      <w:pPr>
        <w:spacing w:after="0" w:line="13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hereinafter set forth, the Parties hereto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the Agreement as follows: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1 - AMENDMENT</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in this Amendment and not otherwise defined herein shall have the meanings ascribed to such terms in the Agreement.</w:t>
      </w:r>
    </w:p>
    <w:p>
      <w:pPr>
        <w:spacing w:after="0" w:line="73"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Amendment to Certain Definitions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Parties hereby agree that the following defintions in the Agreement are hereby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deleted in their entirety and replaced with the following:</w:t>
      </w:r>
    </w:p>
    <w:p>
      <w:pPr>
        <w:spacing w:after="0" w:line="69" w:lineRule="exact"/>
        <w:rPr>
          <w:sz w:val="20"/>
          <w:szCs w:val="20"/>
          <w:color w:val="auto"/>
        </w:rPr>
      </w:pPr>
    </w:p>
    <w:p>
      <w:pPr>
        <w:jc w:val="both"/>
        <w:ind w:left="660" w:right="2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“Excluded Territory” </w:t>
      </w:r>
      <w:r>
        <w:rPr>
          <w:rFonts w:ascii="Times New Roman" w:cs="Times New Roman" w:eastAsia="Times New Roman" w:hAnsi="Times New Roman"/>
          <w:sz w:val="22"/>
          <w:szCs w:val="22"/>
          <w:color w:val="auto"/>
        </w:rPr>
        <w:t>means (i) with respect to AMG557 and AMG570, Japan, and (ii) with respect to AMG827,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countries not included within the AMG827 Territory.</w:t>
      </w:r>
    </w:p>
    <w:p>
      <w:pPr>
        <w:spacing w:after="0" w:line="69"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“Excluded Territory Agreement” </w:t>
      </w:r>
      <w:r>
        <w:rPr>
          <w:rFonts w:ascii="Times New Roman" w:cs="Times New Roman" w:eastAsia="Times New Roman" w:hAnsi="Times New Roman"/>
          <w:sz w:val="22"/>
          <w:szCs w:val="22"/>
          <w:color w:val="auto"/>
        </w:rPr>
        <w:t>means (i) in relation to AMG827, the AMG827 Technology Transfer Agreement by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Kyowa Hakko Kirin Co., Ltd., Amgen and Kirin-Amgen, Inc., the Research, Development and Technology Disclosure Agreement: AMG827 by and among Kyowa Hakko Kirin Co., Ltd., Amgen and Kirin-Amgen, Inc., and the AMG827 License Agreement between Kirin-Amgen, Inc., all dated October 29, 2010 and (ii) in relation to AMG557 and AMG570, means the License Agreement by and between Amgen and Takeda Pharmaceutical Company Limited dated February 1, 2008, in each case as the same have been amended and may be amended from time to time hereafter in accordance with terms of this Agreement.</w:t>
      </w:r>
    </w:p>
    <w:p>
      <w:pPr>
        <w:spacing w:after="0" w:line="10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Amendment to Certain Schedules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hereby agree that the following schedules to the Agreement are hereby deleted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their entirety and replaced with the schedules set forth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xml:space="preserve"> attached hereto:</w:t>
      </w:r>
    </w:p>
    <w:p>
      <w:pPr>
        <w:spacing w:after="0" w:line="73" w:lineRule="exact"/>
        <w:rPr>
          <w:sz w:val="20"/>
          <w:szCs w:val="20"/>
          <w:color w:val="auto"/>
        </w:rPr>
      </w:pPr>
    </w:p>
    <w:p>
      <w:pPr>
        <w:ind w:left="1300" w:hanging="320"/>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Development/Commercial Lead Schedule;</w:t>
      </w:r>
    </w:p>
    <w:p>
      <w:pPr>
        <w:spacing w:after="0" w:line="13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Distracting Product Schedule;</w:t>
      </w:r>
    </w:p>
    <w:p>
      <w:pPr>
        <w:spacing w:after="0" w:line="13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Schedule; and</w:t>
      </w:r>
    </w:p>
    <w:p>
      <w:pPr>
        <w:spacing w:after="0" w:line="13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Stage 1 Clinical Trial Schedule.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98" w:name="page199"/>
    <w:bookmarkEnd w:id="198"/>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Parties hereby acknowledge that (a) in accordance with Section 9.4 (Pre-Clinical Research and</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Development Programs) of the Agreement, the Inventorship Margin for AMG570 shall be [*] percent ([*]%), and (b) in accordance with Section 9.3.3 (Inclusion) of the Agreement, (i) all Development Costs and General Costs for AMG570 shall be shared on a [*] basis, and (ii) all Net Revenues for AMG570 shall, after the deduction of the Inventorship Margin for AMG570, be shared on a [*] basis.</w:t>
      </w:r>
    </w:p>
    <w:p>
      <w:pPr>
        <w:spacing w:after="0" w:line="9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b w:val="1"/>
          <w:bCs w:val="1"/>
          <w:u w:val="single" w:color="auto"/>
          <w:color w:val="auto"/>
        </w:rPr>
        <w:t>Manufacturing Lead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Parties hereby agree that, notwithstanding the provisions of Section 4.1 (Allocation of</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Manufacturing Responsibility) of the Agreement to the contrary, Amgen shall not be required to elect whether or not to continue as the Manufacturing Lead for AMG570 and AMG557 until [*].</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2 - REFERENCE TO AND EFFECT ON THE AGREEMENT</w:t>
      </w:r>
    </w:p>
    <w:p>
      <w:pPr>
        <w:spacing w:after="0" w:line="35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u w:val="single" w:color="auto"/>
          <w:color w:val="auto"/>
        </w:rPr>
        <w:t>Reference to Agreement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Upon and after the effectiveness of this Amendment, each reference in the Agreement to “this</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Agreement”, “hereunder”, “hereof” or words of like import referring to the Agreement shall mean and be a reference to the Agreement as modified and amended hereby.</w:t>
      </w:r>
    </w:p>
    <w:p>
      <w:pPr>
        <w:spacing w:after="0" w:line="30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b w:val="1"/>
          <w:bCs w:val="1"/>
          <w:u w:val="single" w:color="auto"/>
          <w:color w:val="auto"/>
        </w:rPr>
        <w:t>Effectiveness of Amendment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Upon execution and delivery of this Amendment by both Parties, the amendments set forth</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above shall be effective as of the Amendment Effective Date.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30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execution, delivery and effectiveness of this Amendment shall not operate as a waiver of any right, power</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or remedy of either Party under the Agreement, nor constitute a waiver of any provision of the Agreement.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3 - MISCELLANEOUS</w:t>
      </w:r>
    </w:p>
    <w:p>
      <w:pPr>
        <w:spacing w:after="0" w:line="3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This Amendment will be governed by, and enforced and construed in accordance with, the laws of the</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State of New York without regard to its conflicts of law provisions. Each of the Parties hereby irrevocably and unconditionally consents to submit to the exclusive jurisdiction of the state and federal courts of the State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state and federal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will be conclusive and may be enforced in other jurisdictions by suits on the judgment or in any other manner provided by law. Any proceeding brought by either Party under this Amendment will be exclusively conducted in the English language. The United Nations Convention for the International Sale of Goods will not apply to the transactions contemplated herein.</w:t>
      </w:r>
    </w:p>
    <w:p>
      <w:pPr>
        <w:spacing w:after="0" w:line="263"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The heading for each article and section in this Amendment has been inserted for convenience of reference only</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and is not intended to limit or expand on the meaning of the language contained in the particular article or section.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5" w:right="239" w:bottom="1440" w:gutter="0" w:footer="0" w:header="0"/>
        </w:sectPr>
      </w:pPr>
    </w:p>
    <w:bookmarkStart w:id="199" w:name="page200"/>
    <w:bookmarkEnd w:id="199"/>
    <w:p>
      <w:pPr>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This Amendment may be executed in two (2) or more counterparts, each of which shall be deemed an</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original, but all of which together shall constitute one and the same instrument.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60" w:top="540" w:right="239" w:bottom="1440" w:gutter="0" w:footer="0" w:header="0"/>
        </w:sectPr>
      </w:pPr>
    </w:p>
    <w:bookmarkStart w:id="200" w:name="page201"/>
    <w:bookmarkEnd w:id="200"/>
    <w:p>
      <w:pPr>
        <w:ind w:right="220"/>
        <w:spacing w:after="0" w:line="271" w:lineRule="auto"/>
        <w:rPr>
          <w:sz w:val="20"/>
          <w:szCs w:val="20"/>
          <w:color w:val="auto"/>
        </w:rPr>
      </w:pPr>
      <w:r>
        <w:rPr>
          <w:rFonts w:ascii="Times New Roman" w:cs="Times New Roman" w:eastAsia="Times New Roman" w:hAnsi="Times New Roman"/>
          <w:sz w:val="22"/>
          <w:szCs w:val="22"/>
          <w:color w:val="auto"/>
        </w:rPr>
        <w:t>IN WITNESS THEREOF, duly authorized representatives of the Parties hereto have executed this Amendment as of the date first set forth above.</w:t>
      </w: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ASTRAZENECA COLLABORATION VENTURES, LLC</w:t>
            </w:r>
          </w:p>
        </w:tc>
        <w:tc>
          <w:tcPr>
            <w:tcW w:w="638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AMGEN INC.</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Pascal Soriot</w:t>
            </w:r>
          </w:p>
        </w:tc>
        <w:tc>
          <w:tcPr>
            <w:tcW w:w="22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A. Bradway</w:t>
            </w: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Pascal Soriot</w:t>
            </w:r>
          </w:p>
        </w:tc>
        <w:tc>
          <w:tcPr>
            <w:tcW w:w="22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Bradway</w:t>
            </w: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22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73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ASTRAZENECA PHARMACEUTICALS LP</w:t>
            </w:r>
          </w:p>
        </w:tc>
        <w:tc>
          <w:tcPr>
            <w:tcW w:w="22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Pascal Soriot</w:t>
            </w:r>
          </w:p>
        </w:tc>
        <w:tc>
          <w:tcPr>
            <w:tcW w:w="22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Pascal Soriot</w:t>
            </w:r>
          </w:p>
        </w:tc>
        <w:tc>
          <w:tcPr>
            <w:tcW w:w="22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22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100" w:type="dxa"/>
            <w:vAlign w:val="bottom"/>
          </w:tcPr>
          <w:p>
            <w:pPr>
              <w:spacing w:after="0"/>
              <w:rPr>
                <w:sz w:val="2"/>
                <w:szCs w:val="2"/>
                <w:color w:val="auto"/>
              </w:rPr>
            </w:pPr>
          </w:p>
        </w:tc>
      </w:tr>
    </w:tbl>
    <w:p>
      <w:pPr>
        <w:sectPr>
          <w:pgSz w:w="11900" w:h="16838" w:orient="portrait"/>
          <w:cols w:equalWidth="0" w:num="1">
            <w:col w:w="11420"/>
          </w:cols>
          <w:pgMar w:left="240" w:top="369" w:right="239" w:bottom="1440" w:gutter="0" w:footer="0" w:header="0"/>
        </w:sectPr>
      </w:pPr>
    </w:p>
    <w:bookmarkStart w:id="201" w:name="page202"/>
    <w:bookmarkEnd w:id="201"/>
    <w:p>
      <w:pPr>
        <w:ind w:left="4000"/>
        <w:spacing w:after="0"/>
        <w:rPr>
          <w:sz w:val="20"/>
          <w:szCs w:val="20"/>
          <w:color w:val="auto"/>
        </w:rPr>
      </w:pPr>
      <w:r>
        <w:rPr>
          <w:rFonts w:ascii="Times New Roman" w:cs="Times New Roman" w:eastAsia="Times New Roman" w:hAnsi="Times New Roman"/>
          <w:sz w:val="21"/>
          <w:szCs w:val="21"/>
          <w:b w:val="1"/>
          <w:bCs w:val="1"/>
          <w:color w:val="auto"/>
        </w:rPr>
        <w:t>Appendix I</w:t>
      </w:r>
    </w:p>
    <w:p>
      <w:pPr>
        <w:spacing w:after="0" w:line="4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Schedules</w:t>
      </w:r>
    </w:p>
    <w:p>
      <w:pPr>
        <w:sectPr>
          <w:pgSz w:w="11900" w:h="16838" w:orient="portrait"/>
          <w:cols w:equalWidth="0" w:num="1">
            <w:col w:w="9019"/>
          </w:cols>
          <w:pgMar w:left="1440" w:top="365" w:right="1440"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2"/>
          <w:szCs w:val="22"/>
          <w:b w:val="1"/>
          <w:bCs w:val="1"/>
          <w:color w:val="auto"/>
        </w:rPr>
        <w:t>Schedule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Development/Commercial Lead</w:t>
      </w:r>
    </w:p>
    <w:p>
      <w:pPr>
        <w:spacing w:after="0" w:line="200" w:lineRule="exact"/>
        <w:rPr>
          <w:sz w:val="20"/>
          <w:szCs w:val="20"/>
          <w:color w:val="auto"/>
        </w:rPr>
      </w:pPr>
    </w:p>
    <w:p>
      <w:pPr>
        <w:spacing w:after="0" w:line="341" w:lineRule="exact"/>
        <w:rPr>
          <w:sz w:val="20"/>
          <w:szCs w:val="20"/>
          <w:color w:val="auto"/>
        </w:rPr>
      </w:pPr>
    </w:p>
    <w:tbl>
      <w:tblPr>
        <w:tblLayout w:type="fixed"/>
        <w:tblInd w:w="2890" w:type="dxa"/>
        <w:tblCellMar>
          <w:top w:w="0" w:type="dxa"/>
          <w:left w:w="0" w:type="dxa"/>
          <w:bottom w:w="0" w:type="dxa"/>
          <w:right w:w="0" w:type="dxa"/>
        </w:tblCellMar>
      </w:tblPr>
      <w:tr>
        <w:trPr>
          <w:trHeight w:val="289"/>
        </w:trPr>
        <w:tc>
          <w:tcPr>
            <w:tcW w:w="2860" w:type="dxa"/>
            <w:vAlign w:val="bottom"/>
            <w:tcBorders>
              <w:top w:val="single" w:sz="8" w:color="auto"/>
              <w:left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rPr>
              <w:t>Amgen</w:t>
            </w:r>
          </w:p>
        </w:tc>
        <w:tc>
          <w:tcPr>
            <w:tcW w:w="286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r>
      <w:tr>
        <w:trPr>
          <w:trHeight w:val="237"/>
        </w:trPr>
        <w:tc>
          <w:tcPr>
            <w:tcW w:w="28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AMG827</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AMG139</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AMG557</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AMG157</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37"/>
        </w:trPr>
        <w:tc>
          <w:tcPr>
            <w:tcW w:w="2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AMG570</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AMG181</w:t>
            </w: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AMG827 Respiratory-</w:t>
      </w:r>
    </w:p>
    <w:p>
      <w:pPr>
        <w:spacing w:after="0" w:line="200" w:lineRule="exact"/>
        <w:rPr>
          <w:sz w:val="20"/>
          <w:szCs w:val="20"/>
          <w:color w:val="auto"/>
        </w:rPr>
      </w:pPr>
    </w:p>
    <w:p>
      <w:pPr>
        <w:spacing w:after="0" w:line="245" w:lineRule="exact"/>
        <w:rPr>
          <w:sz w:val="20"/>
          <w:szCs w:val="20"/>
          <w:color w:val="auto"/>
        </w:rPr>
      </w:pPr>
    </w:p>
    <w:p>
      <w:pPr>
        <w:ind w:left="620" w:hanging="612"/>
        <w:spacing w:after="0" w:line="261" w:lineRule="auto"/>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with regard to AMG827 at the global level, the Parties will work closely through the JPT on the commercial strategy for the Respiratory market for AMG827 with Amgen taking the primary responsibility for [*].</w:t>
      </w:r>
    </w:p>
    <w:p>
      <w:pPr>
        <w:ind w:left="620" w:hanging="612"/>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w:t>
      </w:r>
    </w:p>
    <w:p>
      <w:pPr>
        <w:spacing w:after="0" w:line="9" w:lineRule="exact"/>
        <w:rPr>
          <w:sz w:val="20"/>
          <w:szCs w:val="20"/>
          <w:color w:val="auto"/>
        </w:rPr>
      </w:pPr>
    </w:p>
    <w:p>
      <w:pPr>
        <w:ind w:left="620" w:hanging="612"/>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cooperate to ensure that [*] is made available to the JPT at both the global and regional level.</w:t>
      </w:r>
    </w:p>
    <w:p>
      <w:pPr>
        <w:spacing w:after="0" w:line="9" w:lineRule="exact"/>
        <w:rPr>
          <w:sz w:val="20"/>
          <w:szCs w:val="20"/>
          <w:color w:val="auto"/>
        </w:rPr>
      </w:pPr>
    </w:p>
    <w:p>
      <w:pPr>
        <w:ind w:left="620" w:hanging="612"/>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arrangement will be noted in the press release and other approved communications as “[*],” or with words of similar import.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AMG570-</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hereby agree that Amgen shall be the initial Development Lead and Commercial Lead for AMG570. The Parties shall [*], provided that, in the event that the Parties are unable to [*] if it elects to do so.</w:t>
      </w:r>
    </w:p>
    <w:p>
      <w:pPr>
        <w:sectPr>
          <w:pgSz w:w="11900" w:h="16838" w:orient="portrait"/>
          <w:cols w:equalWidth="0" w:num="1">
            <w:col w:w="11420"/>
          </w:cols>
          <w:pgMar w:left="240" w:top="622" w:right="239" w:bottom="1440" w:gutter="0" w:footer="0" w:header="0"/>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Distracting Product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810" w:type="dxa"/>
        <w:tblCellMar>
          <w:top w:w="0" w:type="dxa"/>
          <w:left w:w="0" w:type="dxa"/>
          <w:bottom w:w="0" w:type="dxa"/>
          <w:right w:w="0" w:type="dxa"/>
        </w:tblCellMar>
      </w:tblPr>
      <w:tr>
        <w:trPr>
          <w:trHeight w:val="419"/>
        </w:trPr>
        <w:tc>
          <w:tcPr>
            <w:tcW w:w="1980" w:type="dxa"/>
            <w:vAlign w:val="bottom"/>
            <w:tcBorders>
              <w:top w:val="single" w:sz="8" w:color="auto"/>
              <w:left w:val="single" w:sz="8" w:color="auto"/>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2560" w:type="dxa"/>
            <w:vAlign w:val="bottom"/>
            <w:tcBorders>
              <w:top w:val="single" w:sz="8" w:color="auto"/>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Product Target</w:t>
            </w:r>
          </w:p>
        </w:tc>
        <w:tc>
          <w:tcPr>
            <w:tcW w:w="5320" w:type="dxa"/>
            <w:vAlign w:val="bottom"/>
            <w:tcBorders>
              <w:top w:val="single" w:sz="8" w:color="auto"/>
              <w:right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8"/>
                <w:szCs w:val="18"/>
                <w:color w:val="auto"/>
                <w:w w:val="98"/>
              </w:rPr>
              <w:t>Distracting Target</w:t>
            </w:r>
            <w:r>
              <w:rPr>
                <w:rFonts w:ascii="Times New Roman" w:cs="Times New Roman" w:eastAsia="Times New Roman" w:hAnsi="Times New Roman"/>
                <w:sz w:val="25"/>
                <w:szCs w:val="25"/>
                <w:color w:val="auto"/>
                <w:w w:val="98"/>
                <w:vertAlign w:val="superscript"/>
              </w:rPr>
              <w:t>*</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bottom w:val="single" w:sz="8" w:color="DBE5F1"/>
              <w:right w:val="single" w:sz="8" w:color="auto"/>
            </w:tcBorders>
            <w:vMerge w:val="continue"/>
            <w:shd w:val="clear" w:color="auto" w:fill="DBE5F1"/>
          </w:tcPr>
          <w:p>
            <w:pPr>
              <w:spacing w:after="0"/>
              <w:rPr>
                <w:sz w:val="7"/>
                <w:szCs w:val="7"/>
                <w:color w:val="auto"/>
              </w:rPr>
            </w:pPr>
          </w:p>
        </w:tc>
        <w:tc>
          <w:tcPr>
            <w:tcW w:w="2560" w:type="dxa"/>
            <w:vAlign w:val="bottom"/>
            <w:tcBorders>
              <w:bottom w:val="single" w:sz="8" w:color="DBE5F1"/>
              <w:right w:val="single" w:sz="8" w:color="auto"/>
            </w:tcBorders>
            <w:vMerge w:val="continue"/>
            <w:shd w:val="clear" w:color="auto" w:fill="DBE5F1"/>
          </w:tcPr>
          <w:p>
            <w:pPr>
              <w:spacing w:after="0"/>
              <w:rPr>
                <w:sz w:val="7"/>
                <w:szCs w:val="7"/>
                <w:color w:val="auto"/>
              </w:rPr>
            </w:pPr>
          </w:p>
        </w:tc>
        <w:tc>
          <w:tcPr>
            <w:tcW w:w="5320" w:type="dxa"/>
            <w:vAlign w:val="bottom"/>
            <w:tcBorders>
              <w:bottom w:val="single" w:sz="8" w:color="DBE5F1"/>
              <w:right w:val="single" w:sz="8" w:color="auto"/>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139</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157</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181</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557</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570</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 827</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Distracting Target includes (i)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(iv)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(v)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avoidance of doubt, the Distracting Product Schedule lists without limitation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Notwithstanding anything contained in the Agreement to the contrary, Amgen’s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program referred to internally at Amgen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not be a Distracting Product so long as such molecule is the subject of that certain License Agreement dated as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and between Amgen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amended.</w:t>
      </w:r>
    </w:p>
    <w:p>
      <w:pPr>
        <w:sectPr>
          <w:pgSz w:w="11900" w:h="16838" w:orient="portrait"/>
          <w:cols w:equalWidth="0" w:num="1">
            <w:col w:w="11420"/>
          </w:cols>
          <w:pgMar w:left="240" w:top="797" w:right="239" w:bottom="1440" w:gutter="0" w:footer="0" w:header="0"/>
        </w:sectPr>
      </w:pPr>
    </w:p>
    <w:bookmarkStart w:id="204" w:name="page205"/>
    <w:bookmarkEnd w:id="204"/>
    <w:p>
      <w:pPr>
        <w:ind w:left="4100"/>
        <w:spacing w:after="0"/>
        <w:rPr>
          <w:sz w:val="20"/>
          <w:szCs w:val="20"/>
          <w:color w:val="auto"/>
        </w:rPr>
      </w:pPr>
      <w:r>
        <w:rPr>
          <w:rFonts w:ascii="Times New Roman" w:cs="Times New Roman" w:eastAsia="Times New Roman" w:hAnsi="Times New Roman"/>
          <w:sz w:val="21"/>
          <w:szCs w:val="21"/>
          <w:b w:val="1"/>
          <w:bCs w:val="1"/>
          <w:color w:val="auto"/>
        </w:rPr>
        <w:t>Schedule</w:t>
      </w:r>
    </w:p>
    <w:p>
      <w:pPr>
        <w:spacing w:after="0" w:line="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363220</wp:posOffset>
            </wp:positionV>
            <wp:extent cx="2383790" cy="1269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126936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Product</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139</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157</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181</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557</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827</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AMG 570</w:t>
      </w:r>
    </w:p>
    <w:p>
      <w:pPr>
        <w:sectPr>
          <w:pgSz w:w="11900" w:h="16838" w:orient="portrait"/>
          <w:cols w:equalWidth="0" w:num="1">
            <w:col w:w="9019"/>
          </w:cols>
          <w:pgMar w:left="1440" w:top="581" w:right="1440"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2"/>
          <w:szCs w:val="22"/>
          <w:b w:val="1"/>
          <w:bCs w:val="1"/>
          <w:color w:val="auto"/>
        </w:rPr>
        <w:t>Schedule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Stage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219075</wp:posOffset>
            </wp:positionV>
            <wp:extent cx="3696335" cy="1269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96335" cy="1269365"/>
                    </a:xfrm>
                    <a:prstGeom prst="rect">
                      <a:avLst/>
                    </a:prstGeom>
                    <a:noFill/>
                  </pic:spPr>
                </pic:pic>
              </a:graphicData>
            </a:graphic>
          </wp:anchor>
        </w:drawing>
      </w:r>
    </w:p>
    <w:p>
      <w:pPr>
        <w:spacing w:after="0" w:line="325" w:lineRule="exact"/>
        <w:rPr>
          <w:sz w:val="20"/>
          <w:szCs w:val="20"/>
          <w:color w:val="auto"/>
        </w:rPr>
      </w:pPr>
    </w:p>
    <w:tbl>
      <w:tblPr>
        <w:tblLayout w:type="fixed"/>
        <w:tblInd w:w="1620" w:type="dxa"/>
        <w:tblCellMar>
          <w:top w:w="0" w:type="dxa"/>
          <w:left w:w="0" w:type="dxa"/>
          <w:bottom w:w="0" w:type="dxa"/>
          <w:right w:w="0" w:type="dxa"/>
        </w:tblCellMar>
      </w:tblPr>
      <w:tr>
        <w:trPr>
          <w:trHeight w:val="258"/>
        </w:trPr>
        <w:tc>
          <w:tcPr>
            <w:tcW w:w="2200" w:type="dxa"/>
            <w:vAlign w:val="bottom"/>
            <w:shd w:val="clear" w:color="auto" w:fill="DBE5F1"/>
          </w:tcPr>
          <w:p>
            <w:pPr>
              <w:ind w:left="6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600" w:type="dxa"/>
            <w:vAlign w:val="bottom"/>
            <w:shd w:val="clear" w:color="auto" w:fill="DBE5F1"/>
          </w:tcPr>
          <w:p>
            <w:pPr>
              <w:ind w:left="880"/>
              <w:spacing w:after="0"/>
              <w:rPr>
                <w:sz w:val="20"/>
                <w:szCs w:val="20"/>
                <w:color w:val="auto"/>
              </w:rPr>
            </w:pPr>
            <w:r>
              <w:rPr>
                <w:rFonts w:ascii="Times New Roman" w:cs="Times New Roman" w:eastAsia="Times New Roman" w:hAnsi="Times New Roman"/>
                <w:sz w:val="18"/>
                <w:szCs w:val="18"/>
                <w:b w:val="1"/>
                <w:bCs w:val="1"/>
                <w:color w:val="auto"/>
              </w:rPr>
              <w:t>Stage 1 Clinical Trial</w:t>
            </w:r>
          </w:p>
        </w:tc>
      </w:tr>
      <w:tr>
        <w:trPr>
          <w:trHeight w:val="25"/>
        </w:trPr>
        <w:tc>
          <w:tcPr>
            <w:tcW w:w="2200" w:type="dxa"/>
            <w:vAlign w:val="bottom"/>
            <w:shd w:val="clear" w:color="auto" w:fill="DBE5F1"/>
          </w:tcPr>
          <w:p>
            <w:pPr>
              <w:spacing w:after="0"/>
              <w:rPr>
                <w:sz w:val="2"/>
                <w:szCs w:val="2"/>
                <w:color w:val="auto"/>
              </w:rPr>
            </w:pPr>
          </w:p>
        </w:tc>
        <w:tc>
          <w:tcPr>
            <w:tcW w:w="3600" w:type="dxa"/>
            <w:vAlign w:val="bottom"/>
            <w:shd w:val="clear" w:color="auto" w:fill="DBE5F1"/>
          </w:tcPr>
          <w:p>
            <w:pPr>
              <w:spacing w:after="0"/>
              <w:rPr>
                <w:sz w:val="2"/>
                <w:szCs w:val="2"/>
                <w:color w:val="auto"/>
              </w:rPr>
            </w:pPr>
          </w:p>
        </w:tc>
      </w:tr>
    </w:tbl>
    <w:p>
      <w:pPr>
        <w:spacing w:after="0" w:line="22"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AMG139</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AMG157</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AMG181</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AMG557</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AMG827</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660"/>
        <w:spacing w:after="0"/>
        <w:tabs>
          <w:tab w:leader="none" w:pos="3620" w:val="left"/>
        </w:tabs>
        <w:rPr>
          <w:sz w:val="20"/>
          <w:szCs w:val="20"/>
          <w:color w:val="auto"/>
        </w:rPr>
      </w:pPr>
      <w:r>
        <w:rPr>
          <w:rFonts w:ascii="Times New Roman" w:cs="Times New Roman" w:eastAsia="Times New Roman" w:hAnsi="Times New Roman"/>
          <w:sz w:val="18"/>
          <w:szCs w:val="18"/>
          <w:color w:val="auto"/>
        </w:rPr>
        <w:t>AMG570</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797"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the Company as of December 31, 2014, omitting some subsidiaries which, considered in the aggregate, would not constitute a significant subsidiary.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OR OTHER</w:t>
            </w:r>
          </w:p>
        </w:tc>
      </w:tr>
      <w:tr>
        <w:trPr>
          <w:trHeight w:val="270"/>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70"/>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under which</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70"/>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 does business)</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291"/>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(Europe) GmbH</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Fremont Inc.</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Global Finance B.V.</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Limited</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Manufacturing, Limited</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Research (Munich) GmbH</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Rockville, Inc.</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S.A.S.</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SF, LLC</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Technology (Ireland)</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Technology, Limited</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Amgen USA Inc.</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Amgen Worldwide Holdings B.V.</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ATL Holdings Limited</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Immunex Corporation</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Immunex Rhode Island Corporation</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Onyx Pharmaceuticals, Inc.</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Onyx Pharmaceuticals International GmbH</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Onyx Therapeutics, Inc.</w:t>
            </w: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891"/>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420"/>
          </w:cols>
          <w:pgMar w:left="240" w:top="117" w:right="2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Amgen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9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5"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80"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19, 2015</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7" w:right="239" w:bottom="1440" w:gutter="0" w:footer="0" w:header="0"/>
        </w:sectPr>
      </w:pPr>
    </w:p>
    <w:bookmarkStart w:id="208" w:name="page209"/>
    <w:bookmarkEnd w:id="208"/>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Meline, Executive Vice President and Chief Financial Officer of Amgen Inc., certify that:</w:t>
      </w:r>
    </w:p>
    <w:p>
      <w:pPr>
        <w:spacing w:after="0" w:line="144"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Amgen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9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5"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80" w:lineRule="exact"/>
        <w:rPr>
          <w:rFonts w:ascii="Times New Roman" w:cs="Times New Roman" w:eastAsia="Times New Roman" w:hAnsi="Times New Roman"/>
          <w:sz w:val="18"/>
          <w:szCs w:val="18"/>
          <w:color w:val="auto"/>
        </w:rPr>
      </w:pPr>
    </w:p>
    <w:p>
      <w:pPr>
        <w:jc w:val="both"/>
        <w:ind w:left="920" w:hanging="331"/>
        <w:spacing w:after="0" w:line="266"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920" w:hanging="331"/>
        <w:spacing w:after="0" w:line="282" w:lineRule="auto"/>
        <w:tabs>
          <w:tab w:leader="none" w:pos="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19, 2015</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right="240" w:hanging="327"/>
        <w:spacing w:after="0" w:line="282" w:lineRule="auto"/>
        <w:tabs>
          <w:tab w:leader="none" w:pos="7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period ended December 31, 2014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1060" w:val="left"/>
          <w:tab w:leader="none" w:pos="7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19, 2015</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Chairman of the Board, Chief Executive Officer and President</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7" w:right="23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right="240" w:hanging="327"/>
        <w:spacing w:after="0" w:line="282" w:lineRule="auto"/>
        <w:tabs>
          <w:tab w:leader="none" w:pos="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period ended December 31, 2014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940" w:val="left"/>
          <w:tab w:leader="none" w:pos="7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19, 2015</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upperLetter"/>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lvl w:ilvl="1">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1"/>
    </w:lvl>
    <w:lvl w:ilvl="1">
      <w:lvlJc w:val="left"/>
      <w:lvlText w:val="•"/>
      <w:numFmt w:val="bullet"/>
      <w:start w:val="1"/>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1)"/>
      <w:numFmt w:val="decimal"/>
      <w:start w:val="2"/>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lowerRoman"/>
      <w:start w:val="1"/>
    </w:lvl>
  </w:abstractNum>
  <w:abstractNum w:abstractNumId="37">
    <w:nsid w:val="5F5E7FD0"/>
    <w:multiLevelType w:val="hybridMultilevel"/>
    <w:lvl w:ilvl="0">
      <w:lvlJc w:val="left"/>
      <w:lvlText w:val="(%1)"/>
      <w:numFmt w:val="lowerRoman"/>
      <w:start w:val="2"/>
    </w:lvl>
  </w:abstractNum>
  <w:abstractNum w:abstractNumId="38">
    <w:nsid w:val="98A3148"/>
    <w:multiLevelType w:val="hybridMultilevel"/>
    <w:lvl w:ilvl="0">
      <w:lvlJc w:val="left"/>
      <w:lvlText w:val="%1."/>
      <w:numFmt w:val="decimal"/>
      <w:start w:val="2"/>
    </w:lvl>
    <w:lvl w:ilvl="1">
      <w:lvlJc w:val="left"/>
      <w:lvlText w:val="•"/>
      <w:numFmt w:val="bullet"/>
      <w:start w:val="1"/>
    </w:lvl>
  </w:abstractNum>
  <w:abstractNum w:abstractNumId="39">
    <w:nsid w:val="799D0247"/>
    <w:multiLevelType w:val="hybridMultilevel"/>
    <w:lvl w:ilvl="0">
      <w:lvlJc w:val="left"/>
      <w:lvlText w:val="(%1)"/>
      <w:numFmt w:val="lowerRoman"/>
      <w:start w:val="2"/>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1."/>
      <w:numFmt w:val="upperLetter"/>
      <w:start w:val="9"/>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2"/>
      <w:numFmt w:val="bullet"/>
      <w:start w:val="1"/>
    </w:lvl>
  </w:abstractNum>
  <w:abstractNum w:abstractNumId="45">
    <w:nsid w:val="5DC79EA8"/>
    <w:multiLevelType w:val="hybridMultilevel"/>
    <w:lvl w:ilvl="0">
      <w:lvlJc w:val="left"/>
      <w:lvlText w:val="%1."/>
      <w:numFmt w:val="lowerLetter"/>
      <w:start w:val="2"/>
    </w:lvl>
  </w:abstractNum>
  <w:abstractNum w:abstractNumId="46">
    <w:nsid w:val="540A471C"/>
    <w:multiLevelType w:val="hybridMultilevel"/>
    <w:lvl w:ilvl="0">
      <w:lvlJc w:val="left"/>
      <w:lvlText w:val="3"/>
      <w:numFmt w:val="bullet"/>
      <w:start w:val="1"/>
    </w:lvl>
  </w:abstractNum>
  <w:abstractNum w:abstractNumId="47">
    <w:nsid w:val="7BD3EE7B"/>
    <w:multiLevelType w:val="hybridMultilevel"/>
    <w:lvl w:ilvl="0">
      <w:lvlJc w:val="left"/>
      <w:lvlText w:val="%1."/>
      <w:numFmt w:val="lowerLetter"/>
      <w:start w:val="5"/>
    </w:lvl>
  </w:abstractNum>
  <w:abstractNum w:abstractNumId="48">
    <w:nsid w:val="51D9C564"/>
    <w:multiLevelType w:val="hybridMultilevel"/>
    <w:lvl w:ilvl="0">
      <w:lvlJc w:val="left"/>
      <w:lvlText w:val="(%1)"/>
      <w:numFmt w:val="lowerRoman"/>
      <w:start w:val="1"/>
    </w:lvl>
    <w:lvl w:ilvl="1">
      <w:lvlJc w:val="left"/>
      <w:lvlText w:val="(%2)"/>
      <w:numFmt w:val="lowerLetter"/>
      <w:start w:val="1"/>
    </w:lvl>
  </w:abstractNum>
  <w:abstractNum w:abstractNumId="49">
    <w:nsid w:val="613EFDC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50">
    <w:nsid w:val="BF72B14"/>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1"/>
    </w:lvl>
  </w:abstractNum>
  <w:abstractNum w:abstractNumId="51">
    <w:nsid w:val="11447B73"/>
    <w:multiLevelType w:val="hybridMultilevel"/>
    <w:lvl w:ilvl="0">
      <w:lvlJc w:val="left"/>
      <w:lvlText w:val="(%1)"/>
      <w:numFmt w:val="lowerRoman"/>
      <w:start w:val="6"/>
    </w:lvl>
  </w:abstractNum>
  <w:abstractNum w:abstractNumId="52">
    <w:nsid w:val="42963E5A"/>
    <w:multiLevelType w:val="hybridMultilevel"/>
    <w:lvl w:ilvl="0">
      <w:lvlJc w:val="left"/>
      <w:lvlText w:val="%1."/>
      <w:numFmt w:val="upperLetter"/>
      <w:start w:val="35"/>
    </w:lvl>
  </w:abstractNum>
  <w:abstractNum w:abstractNumId="53">
    <w:nsid w:val="A0382C5"/>
    <w:multiLevelType w:val="hybridMultilevel"/>
    <w:lvl w:ilvl="0">
      <w:lvlJc w:val="left"/>
      <w:lvlText w:val="%1"/>
      <w:numFmt w:val="lowerRoman"/>
      <w:start w:val="1"/>
    </w:lvl>
    <w:lvl w:ilvl="1">
      <w:lvlJc w:val="left"/>
      <w:lvlText w:val="%2."/>
      <w:numFmt w:val="upperLetter"/>
      <w:start w:val="61"/>
    </w:lvl>
  </w:abstractNum>
  <w:abstractNum w:abstractNumId="54">
    <w:nsid w:val="8F2B15E"/>
    <w:multiLevelType w:val="hybridMultilevel"/>
    <w:lvl w:ilvl="0">
      <w:lvlJc w:val="left"/>
      <w:lvlText w:val="(%1)"/>
      <w:numFmt w:val="lowerRoman"/>
      <w:start w:val="2"/>
    </w:lvl>
    <w:lvl w:ilvl="1">
      <w:lvlJc w:val="left"/>
      <w:lvlText w:val="%2"/>
      <w:numFmt w:val="upperLetter"/>
      <w:start w:val="1"/>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4"/>
      <w:numFmt w:val="bullet"/>
      <w:start w:val="1"/>
    </w:lvl>
  </w:abstractNum>
  <w:abstractNum w:abstractNumId="57">
    <w:nsid w:val="68EB2F63"/>
    <w:multiLevelType w:val="hybridMultilevel"/>
    <w:lvl w:ilvl="0">
      <w:lvlJc w:val="left"/>
      <w:lvlText w:val="%1"/>
      <w:numFmt w:val="upperLetter"/>
      <w:start w:val="1"/>
    </w:lvl>
    <w:lvl w:ilvl="1">
      <w:lvlJc w:val="left"/>
      <w:lvlText w:val="(%2)"/>
      <w:numFmt w:val="lowerLetter"/>
      <w:start w:val="1"/>
    </w:lvl>
  </w:abstractNum>
  <w:abstractNum w:abstractNumId="58">
    <w:nsid w:val="4962813B"/>
    <w:multiLevelType w:val="hybridMultilevel"/>
    <w:lvl w:ilvl="0">
      <w:lvlJc w:val="left"/>
      <w:lvlText w:val="%1."/>
      <w:numFmt w:val="upperLetter"/>
      <w:start w:val="22"/>
    </w:lvl>
    <w:lvl w:ilvl="1">
      <w:lvlJc w:val="left"/>
      <w:lvlText w:val="%2"/>
      <w:numFmt w:val="lowerLetter"/>
      <w:start w:val="1"/>
    </w:lvl>
  </w:abstractNum>
  <w:abstractNum w:abstractNumId="59">
    <w:nsid w:val="60B6DF70"/>
    <w:multiLevelType w:val="hybridMultilevel"/>
    <w:lvl w:ilvl="0">
      <w:lvlJc w:val="left"/>
      <w:lvlText w:val="%1."/>
      <w:numFmt w:val="upperLetter"/>
      <w:start w:val="24"/>
    </w:lvl>
  </w:abstractNum>
  <w:abstractNum w:abstractNumId="60">
    <w:nsid w:val="6A5EE64"/>
    <w:multiLevelType w:val="hybridMultilevel"/>
    <w:lvl w:ilvl="0">
      <w:lvlJc w:val="left"/>
      <w:lvlText w:val="(%1)"/>
      <w:numFmt w:val="lowerLetter"/>
      <w:start w:val="1"/>
    </w:lvl>
    <w:lvl w:ilvl="1">
      <w:lvlJc w:val="left"/>
      <w:lvlText w:val="(%2)"/>
      <w:numFmt w:val="lowerLetter"/>
      <w:start w:val="9"/>
    </w:lvl>
  </w:abstractNum>
  <w:abstractNum w:abstractNumId="61">
    <w:nsid w:val="14330624"/>
    <w:multiLevelType w:val="hybridMultilevel"/>
    <w:lvl w:ilvl="0">
      <w:lvlJc w:val="left"/>
      <w:lvlText w:val="(%1)"/>
      <w:numFmt w:val="lowerRoman"/>
      <w:start w:val="2"/>
    </w:lvl>
  </w:abstractNum>
  <w:abstractNum w:abstractNumId="62">
    <w:nsid w:val="7FFFCA11"/>
    <w:multiLevelType w:val="hybridMultilevel"/>
    <w:lvl w:ilvl="0">
      <w:lvlJc w:val="left"/>
      <w:lvlText w:val="%1."/>
      <w:numFmt w:val="lowerLetter"/>
      <w:start w:val="1"/>
    </w:lvl>
  </w:abstractNum>
  <w:abstractNum w:abstractNumId="63">
    <w:nsid w:val="1A27709E"/>
    <w:multiLevelType w:val="hybridMultilevel"/>
    <w:lvl w:ilvl="0">
      <w:lvlJc w:val="left"/>
      <w:lvlText w:val="(%1)"/>
      <w:numFmt w:val="lowerRoman"/>
      <w:start w:val="1"/>
    </w:lvl>
  </w:abstractNum>
  <w:abstractNum w:abstractNumId="64">
    <w:nsid w:val="71EA1109"/>
    <w:multiLevelType w:val="hybridMultilevel"/>
    <w:lvl w:ilvl="0">
      <w:lvlJc w:val="left"/>
      <w:lvlText w:val="(%1)"/>
      <w:numFmt w:val="decimal"/>
      <w:start w:val="5"/>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lowerRoman"/>
      <w:start w:val="5"/>
    </w:lvl>
  </w:abstractNum>
  <w:abstractNum w:abstractNumId="68">
    <w:nsid w:val="6F6DD9AC"/>
    <w:multiLevelType w:val="hybridMultilevel"/>
    <w:lvl w:ilvl="0">
      <w:lvlJc w:val="left"/>
      <w:lvlText w:val="(%1)"/>
      <w:numFmt w:val="decimal"/>
      <w:start w:val="2"/>
    </w:lvl>
  </w:abstractNum>
  <w:abstractNum w:abstractNumId="69">
    <w:nsid w:val="94211F2"/>
    <w:multiLevelType w:val="hybridMultilevel"/>
    <w:lvl w:ilvl="0">
      <w:lvlJc w:val="left"/>
      <w:lvlText w:val="(%1)"/>
      <w:numFmt w:val="decimal"/>
      <w:start w:val="6"/>
    </w:lvl>
  </w:abstractNum>
  <w:abstractNum w:abstractNumId="70">
    <w:nsid w:val="885E1B"/>
    <w:multiLevelType w:val="hybridMultilevel"/>
    <w:lvl w:ilvl="0">
      <w:lvlJc w:val="left"/>
      <w:lvlText w:val="(%1)"/>
      <w:numFmt w:val="lowerRoman"/>
      <w:start w:val="1"/>
    </w:lvl>
  </w:abstractNum>
  <w:abstractNum w:abstractNumId="71">
    <w:nsid w:val="76272110"/>
    <w:multiLevelType w:val="hybridMultilevel"/>
    <w:lvl w:ilvl="0">
      <w:lvlJc w:val="left"/>
      <w:lvlText w:val="1"/>
      <w:numFmt w:val="bullet"/>
      <w:start w:val="1"/>
    </w:lvl>
  </w:abstractNum>
  <w:abstractNum w:abstractNumId="72">
    <w:nsid w:val="4C04A8AF"/>
    <w:multiLevelType w:val="hybridMultilevel"/>
    <w:lvl w:ilvl="0">
      <w:lvlJc w:val="left"/>
      <w:lvlText w:val="%1."/>
      <w:numFmt w:val="upperLetter"/>
      <w:start w:val="9"/>
    </w:lvl>
  </w:abstractNum>
  <w:abstractNum w:abstractNumId="73">
    <w:nsid w:val="1716703B"/>
    <w:multiLevelType w:val="hybridMultilevel"/>
    <w:lvl w:ilvl="0">
      <w:lvlJc w:val="left"/>
      <w:lvlText w:val="%1."/>
      <w:numFmt w:val="upperLetter"/>
      <w:start w:val="35"/>
    </w:lvl>
  </w:abstractNum>
  <w:abstractNum w:abstractNumId="74">
    <w:nsid w:val="14E17E33"/>
    <w:multiLevelType w:val="hybridMultilevel"/>
    <w:lvl w:ilvl="0">
      <w:lvlJc w:val="left"/>
      <w:lvlText w:val="%1."/>
      <w:numFmt w:val="upperLetter"/>
      <w:start w:val="61"/>
    </w:lvl>
  </w:abstractNum>
  <w:abstractNum w:abstractNumId="75">
    <w:nsid w:val="3222E7CD"/>
    <w:multiLevelType w:val="hybridMultilevel"/>
    <w:lvl w:ilvl="0">
      <w:lvlJc w:val="left"/>
      <w:lvlText w:val="%1."/>
      <w:numFmt w:val="upperLetter"/>
      <w:start w:val="22"/>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2"/>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2"/>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upperLetter"/>
      <w:start w:val="1"/>
    </w:lvl>
    <w:lvl w:ilvl="1">
      <w:lvlJc w:val="left"/>
      <w:lvlText w:val="(%2)"/>
      <w:numFmt w:val="lowerLetter"/>
      <w:start w:val="7"/>
    </w:lvl>
    <w:lvl w:ilvl="2">
      <w:lvlJc w:val="left"/>
      <w:lvlText w:val="(%3)"/>
      <w:numFmt w:val="upperLetter"/>
      <w:start w:val="1"/>
    </w:lvl>
  </w:abstractNum>
  <w:abstractNum w:abstractNumId="82">
    <w:nsid w:val="57FC4FBB"/>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4"/>
    </w:lvl>
  </w:abstractNum>
  <w:abstractNum w:abstractNumId="85">
    <w:nsid w:val="60EF0119"/>
    <w:multiLevelType w:val="hybridMultilevel"/>
    <w:lvl w:ilvl="0">
      <w:lvlJc w:val="left"/>
      <w:lvlText w:val="%1."/>
      <w:numFmt w:val="upperLetter"/>
      <w:start w:val="50"/>
    </w:lvl>
  </w:abstractNum>
  <w:abstractNum w:abstractNumId="86">
    <w:nsid w:val="26F324BA"/>
    <w:multiLevelType w:val="hybridMultilevel"/>
    <w:lvl w:ilvl="0">
      <w:lvlJc w:val="left"/>
      <w:lvlText w:val="(%1)"/>
      <w:numFmt w:val="decimal"/>
      <w:start w:val="1"/>
    </w:lvl>
  </w:abstractNum>
  <w:abstractNum w:abstractNumId="87">
    <w:nsid w:val="7F01579B"/>
    <w:multiLevelType w:val="hybridMultilevel"/>
    <w:lvl w:ilvl="0">
      <w:lvlJc w:val="left"/>
      <w:lvlText w:val="(%1)"/>
      <w:numFmt w:val="decimal"/>
      <w:start w:val="5"/>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decimal"/>
      <w:start w:val="4"/>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6"/>
    </w:lvl>
  </w:abstractNum>
  <w:abstractNum w:abstractNumId="92">
    <w:nsid w:val="488AC1A"/>
    <w:multiLevelType w:val="hybridMultilevel"/>
    <w:lvl w:ilvl="0">
      <w:lvlJc w:val="left"/>
      <w:lvlText w:val="(%1)"/>
      <w:numFmt w:val="lowerLetter"/>
      <w:start w:val="10"/>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bullet"/>
      <w:start w:val="1"/>
    </w:lvl>
  </w:abstractNum>
  <w:abstractNum w:abstractNumId="95">
    <w:nsid w:val="7672BD23"/>
    <w:multiLevelType w:val="hybridMultilevel"/>
    <w:lvl w:ilvl="0">
      <w:lvlJc w:val="left"/>
      <w:lvlText w:val="2"/>
      <w:numFmt w:val="bullet"/>
      <w:start w:val="1"/>
    </w:lvl>
  </w:abstractNum>
  <w:abstractNum w:abstractNumId="96">
    <w:nsid w:val="6FC75AF8"/>
    <w:multiLevelType w:val="hybridMultilevel"/>
    <w:lvl w:ilvl="0">
      <w:lvlJc w:val="left"/>
      <w:lvlText w:val="3"/>
      <w:numFmt w:val="bullet"/>
      <w:start w:val="1"/>
    </w:lvl>
  </w:abstractNum>
  <w:abstractNum w:abstractNumId="97">
    <w:nsid w:val="6A5F7029"/>
    <w:multiLevelType w:val="hybridMultilevel"/>
    <w:lvl w:ilvl="0">
      <w:lvlJc w:val="left"/>
      <w:lvlText w:val="4"/>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lowerRoman"/>
      <w:start w:val="1"/>
    </w:lvl>
  </w:abstractNum>
  <w:abstractNum w:abstractNumId="101">
    <w:nsid w:val="7DE6771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2019-12-29T18:39:59Z</dcterms:created>
  <dcterms:modified xsi:type="dcterms:W3CDTF">2019-12-29T18:39:59Z</dcterms:modified>
</cp:coreProperties>
</file>